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jc w:val="center"/>
        <w:rPr>
          <w:rFonts w:ascii="Arial" w:cs="Arial" w:eastAsia="Arial" w:hAnsi="Arial"/>
          <w:b w:val="0"/>
          <w:bCs w:val="0"/>
          <w:color w:val="0000ff"/>
          <w:sz w:val="24"/>
          <w:szCs w:val="24"/>
        </w:rPr>
      </w:pPr>
      <w:bookmarkStart w:colFirst="0" w:colLast="0" w:name="_y8u3wejln2tb" w:id="0"/>
      <w:bookmarkEnd w:id="0"/>
      <w:r w:rsidDel="00000000" w:rsidR="00000000" w:rsidRPr="00000000">
        <w:rPr>
          <w:rFonts w:ascii="Arial" w:cs="Arial" w:eastAsia="Arial" w:hAnsi="Arial"/>
          <w:sz w:val="32"/>
          <w:szCs w:val="32"/>
          <w:rtl w:val="0"/>
        </w:rPr>
        <w:t xml:space="preserve">Título (Arial 16, negrito, centralizado)</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b w:val="0"/>
          <w:bCs w:val="0"/>
          <w:color w:val="0000ff"/>
          <w:sz w:val="24"/>
          <w:szCs w:val="24"/>
          <w:rtl w:val="0"/>
        </w:rPr>
        <w:t xml:space="preserve">(em maiúsculo apenas inicial, siglas e nome próprio)</w:t>
      </w:r>
      <w:r w:rsidDel="00000000" w:rsidR="00000000" w:rsidRPr="00000000">
        <w:rPr>
          <w:rtl w:val="0"/>
        </w:rPr>
      </w:r>
    </w:p>
    <w:p w:rsidR="00000000" w:rsidDel="00000000" w:rsidP="00000000" w:rsidRDefault="00000000" w:rsidRPr="00000000" w14:paraId="0000000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03">
      <w:pPr>
        <w:spacing w:after="0" w:before="0" w:line="360" w:lineRule="auto"/>
        <w:jc w:val="right"/>
        <w:rPr>
          <w:i w:val="1"/>
          <w:iCs w:val="1"/>
          <w:sz w:val="24"/>
          <w:szCs w:val="24"/>
        </w:rPr>
      </w:pPr>
      <w:r w:rsidDel="00000000" w:rsidR="00000000" w:rsidRPr="00000000">
        <w:rPr>
          <w:i w:val="1"/>
          <w:iCs w:val="1"/>
          <w:sz w:val="24"/>
          <w:szCs w:val="24"/>
          <w:rtl w:val="0"/>
        </w:rPr>
        <w:t xml:space="preserve">Nome do autor sem titulação </w:t>
      </w:r>
      <w:r w:rsidDel="00000000" w:rsidR="00000000" w:rsidRPr="00000000">
        <w:rPr>
          <w:i w:val="1"/>
          <w:iCs w:val="1"/>
          <w:sz w:val="24"/>
          <w:szCs w:val="24"/>
          <w:rtl w:val="0"/>
        </w:rPr>
        <w:t xml:space="preserve">(Filiação institucional em sigla, se possível)</w:t>
      </w:r>
    </w:p>
    <w:p w:rsidR="00000000" w:rsidDel="00000000" w:rsidP="00000000" w:rsidRDefault="00000000" w:rsidRPr="00000000" w14:paraId="00000004">
      <w:pPr>
        <w:spacing w:after="0" w:before="0" w:line="360" w:lineRule="auto"/>
        <w:jc w:val="right"/>
        <w:rPr>
          <w:i w:val="1"/>
          <w:iCs w:val="1"/>
          <w:sz w:val="24"/>
          <w:szCs w:val="24"/>
        </w:rPr>
      </w:pPr>
      <w:r w:rsidDel="00000000" w:rsidR="00000000" w:rsidRPr="00000000">
        <w:rPr>
          <w:i w:val="1"/>
          <w:iCs w:val="1"/>
          <w:sz w:val="24"/>
          <w:szCs w:val="24"/>
          <w:rtl w:val="0"/>
        </w:rPr>
        <w:t xml:space="preserve">E-mail: </w:t>
      </w:r>
      <w:hyperlink r:id="rId7">
        <w:r w:rsidDel="00000000" w:rsidR="00000000" w:rsidRPr="00000000">
          <w:rPr>
            <w:i w:val="1"/>
            <w:iCs w:val="1"/>
            <w:color w:val="1155cc"/>
            <w:sz w:val="24"/>
            <w:szCs w:val="24"/>
            <w:u w:val="single"/>
            <w:rtl w:val="0"/>
          </w:rPr>
          <w:t xml:space="preserve">por@exemplo.com.br</w:t>
        </w:r>
      </w:hyperlink>
      <w:r w:rsidDel="00000000" w:rsidR="00000000" w:rsidRPr="00000000">
        <w:rPr>
          <w:rtl w:val="0"/>
        </w:rPr>
      </w:r>
    </w:p>
    <w:p w:rsidR="00000000" w:rsidDel="00000000" w:rsidP="00000000" w:rsidRDefault="00000000" w:rsidRPr="00000000" w14:paraId="00000005">
      <w:pPr>
        <w:spacing w:line="360" w:lineRule="auto"/>
        <w:ind w:left="0" w:firstLine="0"/>
        <w:jc w:val="both"/>
        <w:rPr>
          <w:sz w:val="24"/>
          <w:szCs w:val="24"/>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06">
      <w:pPr>
        <w:pStyle w:val="Heading1"/>
        <w:spacing w:line="360" w:lineRule="auto"/>
        <w:jc w:val="both"/>
        <w:rPr>
          <w:rFonts w:ascii="Arial" w:cs="Arial" w:eastAsia="Arial" w:hAnsi="Arial"/>
        </w:rPr>
      </w:pPr>
      <w:bookmarkStart w:colFirst="0" w:colLast="0" w:name="_2b64z87oy7v4" w:id="1"/>
      <w:bookmarkEnd w:id="1"/>
      <w:r w:rsidDel="00000000" w:rsidR="00000000" w:rsidRPr="00000000">
        <w:rPr>
          <w:rFonts w:ascii="Arial" w:cs="Arial" w:eastAsia="Arial" w:hAnsi="Arial"/>
          <w:sz w:val="28"/>
          <w:szCs w:val="28"/>
          <w:rtl w:val="0"/>
        </w:rPr>
        <w:t xml:space="preserve">1 Primeira </w:t>
      </w:r>
      <w:r w:rsidDel="00000000" w:rsidR="00000000" w:rsidRPr="00000000">
        <w:rPr>
          <w:sz w:val="28"/>
          <w:szCs w:val="28"/>
          <w:rtl w:val="0"/>
        </w:rPr>
        <w:t xml:space="preserve">seção (Arial 14, negrito, justificado) </w:t>
      </w:r>
      <w:r w:rsidDel="00000000" w:rsidR="00000000" w:rsidRPr="00000000">
        <w:rPr>
          <w:b w:val="0"/>
          <w:bCs w:val="0"/>
          <w:color w:val="0000ff"/>
          <w:rtl w:val="0"/>
        </w:rPr>
        <w:t xml:space="preserve">(em maiúsculo apenas inicial, siglas e nome próprio)</w:t>
      </w:r>
      <w:r w:rsidDel="00000000" w:rsidR="00000000" w:rsidRPr="00000000">
        <w:rPr>
          <w:rtl w:val="0"/>
        </w:rPr>
      </w:r>
    </w:p>
    <w:p w:rsidR="00000000" w:rsidDel="00000000" w:rsidP="00000000" w:rsidRDefault="00000000" w:rsidRPr="00000000" w14:paraId="00000007">
      <w:pPr>
        <w:spacing w:line="360" w:lineRule="auto"/>
        <w:ind w:firstLine="708.6614173228347"/>
        <w:jc w:val="both"/>
        <w:rPr>
          <w:sz w:val="24"/>
          <w:szCs w:val="24"/>
        </w:rPr>
      </w:pPr>
      <w:r w:rsidDel="00000000" w:rsidR="00000000" w:rsidRPr="00000000">
        <w:rPr>
          <w:sz w:val="24"/>
          <w:szCs w:val="24"/>
          <w:rtl w:val="0"/>
        </w:rPr>
        <w:t xml:space="preserve">Este é o parágrafo do texto. Use fonte Arial. Tamanho 12. Recuo de 1,25 à esquerda. Espaçamento de 1,5. Justificado. Para destaques no texto, não utilize sublinhado e negrito, apenas itálico.</w:t>
      </w:r>
    </w:p>
    <w:p w:rsidR="00000000" w:rsidDel="00000000" w:rsidP="00000000" w:rsidRDefault="00000000" w:rsidRPr="00000000" w14:paraId="00000008">
      <w:pPr>
        <w:spacing w:line="360" w:lineRule="auto"/>
        <w:ind w:firstLine="708.6614173228347"/>
        <w:jc w:val="both"/>
        <w:rPr>
          <w:sz w:val="24"/>
          <w:szCs w:val="24"/>
        </w:rPr>
      </w:pPr>
      <w:r w:rsidDel="00000000" w:rsidR="00000000" w:rsidRPr="00000000">
        <w:rPr>
          <w:sz w:val="24"/>
          <w:szCs w:val="24"/>
          <w:rtl w:val="0"/>
        </w:rPr>
        <w:t xml:space="preserve">Seções e subseções devem ser separadas do texto anterior por uma linha em branco (espaçamento 1,5). Mantenha a numeração das seções e subseções sem ponto final após o último dígito (exemplo: 1 Seção e 1.1 Subseção), sempre em numeração arábica. Faça quantas seções e subseções forem necessárias.</w:t>
      </w:r>
    </w:p>
    <w:p w:rsidR="00000000" w:rsidDel="00000000" w:rsidP="00000000" w:rsidRDefault="00000000" w:rsidRPr="00000000" w14:paraId="00000009">
      <w:pPr>
        <w:spacing w:line="360" w:lineRule="auto"/>
        <w:ind w:firstLine="708.6614173228347"/>
        <w:jc w:val="both"/>
        <w:rPr>
          <w:sz w:val="24"/>
          <w:szCs w:val="24"/>
        </w:rPr>
      </w:pPr>
      <w:r w:rsidDel="00000000" w:rsidR="00000000" w:rsidRPr="00000000">
        <w:rPr>
          <w:sz w:val="24"/>
          <w:szCs w:val="24"/>
          <w:rtl w:val="0"/>
        </w:rPr>
        <w:t xml:space="preserve">Restrinja o uso das notas de rodapé para comentários explicativos, esclarecimentos ou notas de tradução. Não utilize notas de rodapé para referências bibliográficas simples, as quais devem seguir o sistema autor-data ou, de preferência, autor-data-página, no corpo do texto. O número do indicador da nota deve vir obrigatoriamente após a palavra e antes da pontuação que encerra a frase. </w:t>
      </w:r>
      <w:r w:rsidDel="00000000" w:rsidR="00000000" w:rsidRPr="00000000">
        <w:rPr>
          <w:color w:val="ff0000"/>
          <w:sz w:val="24"/>
          <w:szCs w:val="24"/>
          <w:rtl w:val="0"/>
        </w:rPr>
        <w:t xml:space="preserve">Exemplo: </w:t>
      </w:r>
      <w:r w:rsidDel="00000000" w:rsidR="00000000" w:rsidRPr="00000000">
        <w:rPr>
          <w:color w:val="ff0000"/>
          <w:sz w:val="24"/>
          <w:szCs w:val="24"/>
          <w:rtl w:val="0"/>
        </w:rPr>
        <w:t xml:space="preserve">Conforme indicado por Hegel</w:t>
      </w:r>
      <w:r w:rsidDel="00000000" w:rsidR="00000000" w:rsidRPr="00000000">
        <w:rPr>
          <w:color w:val="ff0000"/>
          <w:sz w:val="24"/>
          <w:szCs w:val="24"/>
          <w:vertAlign w:val="superscript"/>
        </w:rPr>
        <w:footnoteReference w:customMarkFollows="0" w:id="0"/>
      </w:r>
      <w:r w:rsidDel="00000000" w:rsidR="00000000" w:rsidRPr="00000000">
        <w:rPr>
          <w:sz w:val="24"/>
          <w:szCs w:val="24"/>
          <w:rtl w:val="0"/>
        </w:rPr>
        <w:t xml:space="preserve">.</w:t>
      </w:r>
    </w:p>
    <w:p w:rsidR="00000000" w:rsidDel="00000000" w:rsidP="00000000" w:rsidRDefault="00000000" w:rsidRPr="00000000" w14:paraId="0000000A">
      <w:pPr>
        <w:spacing w:line="360" w:lineRule="auto"/>
        <w:ind w:firstLine="708.6614173228347"/>
        <w:jc w:val="both"/>
        <w:rPr>
          <w:sz w:val="24"/>
          <w:szCs w:val="24"/>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0B">
      <w:pPr>
        <w:pStyle w:val="Heading1"/>
        <w:spacing w:line="360" w:lineRule="auto"/>
        <w:rPr>
          <w:rFonts w:ascii="Arial" w:cs="Arial" w:eastAsia="Arial" w:hAnsi="Arial"/>
        </w:rPr>
      </w:pPr>
      <w:bookmarkStart w:colFirst="0" w:colLast="0" w:name="_momd7vt541gv" w:id="2"/>
      <w:bookmarkEnd w:id="2"/>
      <w:r w:rsidDel="00000000" w:rsidR="00000000" w:rsidRPr="00000000">
        <w:rPr>
          <w:rFonts w:ascii="Arial" w:cs="Arial" w:eastAsia="Arial" w:hAnsi="Arial"/>
          <w:sz w:val="28"/>
          <w:szCs w:val="28"/>
          <w:rtl w:val="0"/>
        </w:rPr>
        <w:t xml:space="preserve">1.1 Primeira </w:t>
      </w:r>
      <w:r w:rsidDel="00000000" w:rsidR="00000000" w:rsidRPr="00000000">
        <w:rPr>
          <w:sz w:val="28"/>
          <w:szCs w:val="28"/>
          <w:rtl w:val="0"/>
        </w:rPr>
        <w:t xml:space="preserve">subseção da primeira seção (Arial 14, negrito, justificado) </w:t>
      </w:r>
      <w:r w:rsidDel="00000000" w:rsidR="00000000" w:rsidRPr="00000000">
        <w:rPr>
          <w:b w:val="0"/>
          <w:bCs w:val="0"/>
          <w:color w:val="0000ff"/>
          <w:rtl w:val="0"/>
        </w:rPr>
        <w:t xml:space="preserve">(em maiúsculo apenas inicial, siglas e nome próprio)</w:t>
      </w:r>
      <w:r w:rsidDel="00000000" w:rsidR="00000000" w:rsidRPr="00000000">
        <w:rPr>
          <w:rtl w:val="0"/>
        </w:rPr>
      </w:r>
    </w:p>
    <w:p w:rsidR="00000000" w:rsidDel="00000000" w:rsidP="00000000" w:rsidRDefault="00000000" w:rsidRPr="00000000" w14:paraId="0000000C">
      <w:pPr>
        <w:spacing w:line="360" w:lineRule="auto"/>
        <w:ind w:firstLine="708.6614173228347"/>
        <w:jc w:val="both"/>
        <w:rPr>
          <w:sz w:val="24"/>
          <w:szCs w:val="24"/>
        </w:rPr>
      </w:pPr>
      <w:r w:rsidDel="00000000" w:rsidR="00000000" w:rsidRPr="00000000">
        <w:rPr>
          <w:sz w:val="24"/>
          <w:szCs w:val="24"/>
          <w:rtl w:val="0"/>
        </w:rPr>
        <w:t xml:space="preserve">A citação indireta ocorre quando a ideia de outro autor é expressa com outras palavras que as dele próprio. Para isso, a formatação regular do parágrafo deve ser mantida, sendo proibido o uso de aspas ou recuos. </w:t>
      </w:r>
      <w:r w:rsidDel="00000000" w:rsidR="00000000" w:rsidRPr="00000000">
        <w:rPr>
          <w:color w:val="ff0000"/>
          <w:sz w:val="24"/>
          <w:szCs w:val="24"/>
          <w:rtl w:val="0"/>
        </w:rPr>
        <w:t xml:space="preserve">Exemplo: Segundo Novakovic (2017, p. 193), a ideia básica da </w:t>
      </w:r>
      <w:r w:rsidDel="00000000" w:rsidR="00000000" w:rsidRPr="00000000">
        <w:rPr>
          <w:i w:val="1"/>
          <w:iCs w:val="1"/>
          <w:color w:val="ff0000"/>
          <w:sz w:val="24"/>
          <w:szCs w:val="24"/>
          <w:rtl w:val="0"/>
        </w:rPr>
        <w:t xml:space="preserve">Fenomenologia</w:t>
      </w:r>
      <w:r w:rsidDel="00000000" w:rsidR="00000000" w:rsidRPr="00000000">
        <w:rPr>
          <w:color w:val="ff0000"/>
          <w:sz w:val="24"/>
          <w:szCs w:val="24"/>
          <w:rtl w:val="0"/>
        </w:rPr>
        <w:t xml:space="preserve"> é expor o processo de tornar o “an sich” em “</w:t>
      </w:r>
      <w:r w:rsidDel="00000000" w:rsidR="00000000" w:rsidRPr="00000000">
        <w:rPr>
          <w:color w:val="ff0000"/>
          <w:sz w:val="24"/>
          <w:szCs w:val="24"/>
          <w:rtl w:val="0"/>
        </w:rPr>
        <w:t xml:space="preserve">für</w:t>
      </w:r>
      <w:r w:rsidDel="00000000" w:rsidR="00000000" w:rsidRPr="00000000">
        <w:rPr>
          <w:color w:val="ff0000"/>
          <w:sz w:val="24"/>
          <w:szCs w:val="24"/>
          <w:rtl w:val="0"/>
        </w:rPr>
        <w:t xml:space="preserve"> sich”, processo este denominado “rememoração”</w:t>
      </w:r>
      <w:r w:rsidDel="00000000" w:rsidR="00000000" w:rsidRPr="00000000">
        <w:rPr>
          <w:sz w:val="24"/>
          <w:szCs w:val="24"/>
          <w:rtl w:val="0"/>
        </w:rPr>
        <w:t xml:space="preserve">.</w:t>
      </w:r>
    </w:p>
    <w:p w:rsidR="00000000" w:rsidDel="00000000" w:rsidP="00000000" w:rsidRDefault="00000000" w:rsidRPr="00000000" w14:paraId="0000000D">
      <w:pPr>
        <w:spacing w:line="360" w:lineRule="auto"/>
        <w:ind w:firstLine="708.6614173228347"/>
        <w:jc w:val="both"/>
        <w:rPr>
          <w:sz w:val="24"/>
          <w:szCs w:val="24"/>
        </w:rPr>
      </w:pPr>
      <w:r w:rsidDel="00000000" w:rsidR="00000000" w:rsidRPr="00000000">
        <w:rPr>
          <w:sz w:val="24"/>
          <w:szCs w:val="24"/>
          <w:rtl w:val="0"/>
        </w:rPr>
        <w:t xml:space="preserve">Para a citação das obras de Hegel, os autores deverão utilizar as </w:t>
      </w:r>
      <w:r w:rsidDel="00000000" w:rsidR="00000000" w:rsidRPr="00000000">
        <w:rPr>
          <w:sz w:val="24"/>
          <w:szCs w:val="24"/>
          <w:rtl w:val="0"/>
        </w:rPr>
        <w:t xml:space="preserve">abreviações</w:t>
      </w:r>
      <w:r w:rsidDel="00000000" w:rsidR="00000000" w:rsidRPr="00000000">
        <w:rPr>
          <w:sz w:val="24"/>
          <w:szCs w:val="24"/>
          <w:rtl w:val="0"/>
        </w:rPr>
        <w:t xml:space="preserve"> constantes no documento anexo. </w:t>
      </w:r>
      <w:r w:rsidDel="00000000" w:rsidR="00000000" w:rsidRPr="00000000">
        <w:rPr>
          <w:sz w:val="24"/>
          <w:szCs w:val="24"/>
          <w:rtl w:val="0"/>
        </w:rPr>
        <w:t xml:space="preserve">Toda abreviação que não conste na lista disponibilizada deverá ser explicitada em nota de rodapé na sua primeira ocorrência. Essa regra aplica-se às </w:t>
      </w:r>
      <w:r w:rsidDel="00000000" w:rsidR="00000000" w:rsidRPr="00000000">
        <w:rPr>
          <w:sz w:val="24"/>
          <w:szCs w:val="24"/>
          <w:rtl w:val="0"/>
        </w:rPr>
        <w:t xml:space="preserve">abreviações</w:t>
      </w:r>
      <w:r w:rsidDel="00000000" w:rsidR="00000000" w:rsidRPr="00000000">
        <w:rPr>
          <w:sz w:val="24"/>
          <w:szCs w:val="24"/>
          <w:rtl w:val="0"/>
        </w:rPr>
        <w:t xml:space="preserve"> de referências bibliográficas de obras de Hegel e de quaisquer outros autores. </w:t>
      </w:r>
      <w:r w:rsidDel="00000000" w:rsidR="00000000" w:rsidRPr="00000000">
        <w:rPr>
          <w:color w:val="ff0000"/>
          <w:sz w:val="24"/>
          <w:szCs w:val="24"/>
          <w:rtl w:val="0"/>
        </w:rPr>
        <w:t xml:space="preserve">Exemplo: Conforme apresenta Hegel (CE I, p. 10)</w:t>
      </w:r>
      <w:r w:rsidDel="00000000" w:rsidR="00000000" w:rsidRPr="00000000">
        <w:rPr>
          <w:color w:val="ff0000"/>
          <w:sz w:val="24"/>
          <w:szCs w:val="24"/>
          <w:vertAlign w:val="superscript"/>
        </w:rPr>
        <w:footnoteReference w:customMarkFollows="0" w:id="1"/>
      </w:r>
      <w:r w:rsidDel="00000000" w:rsidR="00000000" w:rsidRPr="00000000">
        <w:rPr>
          <w:color w:val="ff0000"/>
          <w:sz w:val="24"/>
          <w:szCs w:val="24"/>
          <w:rtl w:val="0"/>
        </w:rPr>
        <w:t xml:space="preserve">; Conforme</w:t>
      </w:r>
      <w:r w:rsidDel="00000000" w:rsidR="00000000" w:rsidRPr="00000000">
        <w:rPr>
          <w:color w:val="ff0000"/>
          <w:sz w:val="24"/>
          <w:szCs w:val="24"/>
          <w:rtl w:val="0"/>
        </w:rPr>
        <w:t xml:space="preserve"> argumenta Hodgson (SoF, p. 100)</w:t>
      </w:r>
      <w:r w:rsidDel="00000000" w:rsidR="00000000" w:rsidRPr="00000000">
        <w:rPr>
          <w:color w:val="ff0000"/>
          <w:sz w:val="24"/>
          <w:szCs w:val="24"/>
          <w:vertAlign w:val="superscript"/>
        </w:rPr>
        <w:footnoteReference w:customMarkFollows="0" w:id="2"/>
      </w:r>
      <w:r w:rsidDel="00000000" w:rsidR="00000000" w:rsidRPr="00000000">
        <w:rPr>
          <w:sz w:val="24"/>
          <w:szCs w:val="24"/>
          <w:rtl w:val="0"/>
        </w:rPr>
        <w:t xml:space="preserve">.</w:t>
      </w:r>
    </w:p>
    <w:p w:rsidR="00000000" w:rsidDel="00000000" w:rsidP="00000000" w:rsidRDefault="00000000" w:rsidRPr="00000000" w14:paraId="0000000E">
      <w:pPr>
        <w:spacing w:line="360" w:lineRule="auto"/>
        <w:ind w:firstLine="708.6614173228347"/>
        <w:jc w:val="both"/>
        <w:rPr>
          <w:sz w:val="24"/>
          <w:szCs w:val="24"/>
          <w:highlight w:val="yellow"/>
        </w:rPr>
      </w:pPr>
      <w:r w:rsidDel="00000000" w:rsidR="00000000" w:rsidRPr="00000000">
        <w:rPr>
          <w:sz w:val="24"/>
          <w:szCs w:val="24"/>
          <w:rtl w:val="0"/>
        </w:rPr>
        <w:t xml:space="preserve">No caso das citações de obras clássicas com referências canônicas, utilizar o modo de citação internacionalmente empregado entre os especialistas. </w:t>
      </w:r>
      <w:r w:rsidDel="00000000" w:rsidR="00000000" w:rsidRPr="00000000">
        <w:rPr>
          <w:color w:val="ff0000"/>
          <w:sz w:val="24"/>
          <w:szCs w:val="24"/>
          <w:rtl w:val="0"/>
        </w:rPr>
        <w:t xml:space="preserve">Exemplo: Platão, </w:t>
      </w:r>
      <w:r w:rsidDel="00000000" w:rsidR="00000000" w:rsidRPr="00000000">
        <w:rPr>
          <w:i w:val="1"/>
          <w:iCs w:val="1"/>
          <w:color w:val="ff0000"/>
          <w:sz w:val="24"/>
          <w:szCs w:val="24"/>
          <w:rtl w:val="0"/>
        </w:rPr>
        <w:t xml:space="preserve">Crátilo </w:t>
      </w:r>
      <w:r w:rsidDel="00000000" w:rsidR="00000000" w:rsidRPr="00000000">
        <w:rPr>
          <w:color w:val="ff0000"/>
          <w:sz w:val="24"/>
          <w:szCs w:val="24"/>
          <w:rtl w:val="0"/>
        </w:rPr>
        <w:t xml:space="preserve">400c</w:t>
      </w:r>
      <w:r w:rsidDel="00000000" w:rsidR="00000000" w:rsidRPr="00000000">
        <w:rPr>
          <w:color w:val="ff0000"/>
          <w:sz w:val="24"/>
          <w:szCs w:val="24"/>
          <w:rtl w:val="0"/>
        </w:rPr>
        <w:t xml:space="preserve">; Aristóteles, </w:t>
      </w:r>
      <w:r w:rsidDel="00000000" w:rsidR="00000000" w:rsidRPr="00000000">
        <w:rPr>
          <w:i w:val="1"/>
          <w:iCs w:val="1"/>
          <w:color w:val="ff0000"/>
          <w:sz w:val="24"/>
          <w:szCs w:val="24"/>
          <w:rtl w:val="0"/>
        </w:rPr>
        <w:t xml:space="preserve">Ética a Nicômaco </w:t>
      </w:r>
      <w:r w:rsidDel="00000000" w:rsidR="00000000" w:rsidRPr="00000000">
        <w:rPr>
          <w:color w:val="ff0000"/>
          <w:sz w:val="24"/>
          <w:szCs w:val="24"/>
          <w:rtl w:val="0"/>
        </w:rPr>
        <w:t xml:space="preserve">1094a.5</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spacing w:line="360" w:lineRule="auto"/>
        <w:ind w:firstLine="708.6614173228347"/>
        <w:jc w:val="both"/>
        <w:rPr>
          <w:sz w:val="24"/>
          <w:szCs w:val="24"/>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10">
      <w:pPr>
        <w:pStyle w:val="Heading1"/>
        <w:spacing w:line="360" w:lineRule="auto"/>
        <w:jc w:val="both"/>
        <w:rPr/>
      </w:pPr>
      <w:bookmarkStart w:colFirst="0" w:colLast="0" w:name="_whqkqsfq2c6v" w:id="3"/>
      <w:bookmarkEnd w:id="3"/>
      <w:r w:rsidDel="00000000" w:rsidR="00000000" w:rsidRPr="00000000">
        <w:rPr>
          <w:sz w:val="28"/>
          <w:szCs w:val="28"/>
          <w:rtl w:val="0"/>
        </w:rPr>
        <w:t xml:space="preserve">1.2 Segunda subseção da primeira seção (Arial 14, negrito, justificado)</w:t>
      </w:r>
      <w:r w:rsidDel="00000000" w:rsidR="00000000" w:rsidRPr="00000000">
        <w:rPr>
          <w:rtl w:val="0"/>
        </w:rPr>
        <w:t xml:space="preserve"> </w:t>
      </w:r>
      <w:r w:rsidDel="00000000" w:rsidR="00000000" w:rsidRPr="00000000">
        <w:rPr>
          <w:b w:val="0"/>
          <w:bCs w:val="0"/>
          <w:color w:val="0000ff"/>
          <w:rtl w:val="0"/>
        </w:rPr>
        <w:t xml:space="preserve">(em maiúsculo apenas inicial, siglas e nome próprio)</w:t>
      </w:r>
      <w:r w:rsidDel="00000000" w:rsidR="00000000" w:rsidRPr="00000000">
        <w:rPr>
          <w:rtl w:val="0"/>
        </w:rPr>
      </w:r>
    </w:p>
    <w:p w:rsidR="00000000" w:rsidDel="00000000" w:rsidP="00000000" w:rsidRDefault="00000000" w:rsidRPr="00000000" w14:paraId="00000011">
      <w:pPr>
        <w:spacing w:line="360" w:lineRule="auto"/>
        <w:ind w:firstLine="708.6614173228347"/>
        <w:jc w:val="both"/>
        <w:rPr>
          <w:sz w:val="24"/>
          <w:szCs w:val="24"/>
        </w:rPr>
      </w:pPr>
      <w:r w:rsidDel="00000000" w:rsidR="00000000" w:rsidRPr="00000000">
        <w:rPr>
          <w:sz w:val="24"/>
          <w:szCs w:val="24"/>
          <w:rtl w:val="0"/>
        </w:rPr>
        <w:t xml:space="preserve">As citações diretas curtas (de até três linhas) devem ser mantidas no corpo do parágrafo, escritas entre aspas. </w:t>
      </w:r>
      <w:r w:rsidDel="00000000" w:rsidR="00000000" w:rsidRPr="00000000">
        <w:rPr>
          <w:color w:val="ff0000"/>
          <w:sz w:val="24"/>
          <w:szCs w:val="24"/>
          <w:rtl w:val="0"/>
        </w:rPr>
        <w:t xml:space="preserve">Exemplo: “Wenn dies vollbracht ist, verschwindet die Tätigkeit und Lebendigkeit, und die Interesselosigkeit, die alsdann eintritt, ist geistiger oder physischer Tod” (Hegel, GW 14.1, §151)</w:t>
      </w:r>
      <w:r w:rsidDel="00000000" w:rsidR="00000000" w:rsidRPr="00000000">
        <w:rPr>
          <w:sz w:val="24"/>
          <w:szCs w:val="24"/>
          <w:rtl w:val="0"/>
        </w:rPr>
        <w:t xml:space="preserve">. O ponto final vai após o parêntese. Os grifos devem ser mantidos conforme o original.</w:t>
      </w:r>
    </w:p>
    <w:p w:rsidR="00000000" w:rsidDel="00000000" w:rsidP="00000000" w:rsidRDefault="00000000" w:rsidRPr="00000000" w14:paraId="00000012">
      <w:pPr>
        <w:spacing w:line="360" w:lineRule="auto"/>
        <w:ind w:firstLine="708.6614173228347"/>
        <w:jc w:val="both"/>
        <w:rPr>
          <w:sz w:val="24"/>
          <w:szCs w:val="24"/>
        </w:rPr>
      </w:pPr>
      <w:r w:rsidDel="00000000" w:rsidR="00000000" w:rsidRPr="00000000">
        <w:rPr>
          <w:sz w:val="24"/>
          <w:szCs w:val="24"/>
          <w:rtl w:val="0"/>
        </w:rPr>
        <w:t xml:space="preserve">Não utilizar “[...]” no início e final de citações curtas, só no meio, para casos de supressão. Não </w:t>
      </w:r>
      <w:r w:rsidDel="00000000" w:rsidR="00000000" w:rsidRPr="00000000">
        <w:rPr>
          <w:sz w:val="24"/>
          <w:szCs w:val="24"/>
          <w:rtl w:val="0"/>
        </w:rPr>
        <w:t xml:space="preserve">utilizar</w:t>
      </w:r>
      <w:r w:rsidDel="00000000" w:rsidR="00000000" w:rsidRPr="00000000">
        <w:rPr>
          <w:sz w:val="24"/>
          <w:szCs w:val="24"/>
          <w:rtl w:val="0"/>
        </w:rPr>
        <w:t xml:space="preserve"> “(...)”, com parênteses, mas sim “[...]”, com colchetes.</w:t>
      </w:r>
    </w:p>
    <w:p w:rsidR="00000000" w:rsidDel="00000000" w:rsidP="00000000" w:rsidRDefault="00000000" w:rsidRPr="00000000" w14:paraId="00000013">
      <w:pPr>
        <w:spacing w:line="360" w:lineRule="auto"/>
        <w:ind w:firstLine="708.6614173228347"/>
        <w:jc w:val="both"/>
        <w:rPr>
          <w:sz w:val="24"/>
          <w:szCs w:val="24"/>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14">
      <w:pPr>
        <w:pStyle w:val="Heading1"/>
        <w:rPr/>
      </w:pPr>
      <w:bookmarkStart w:colFirst="0" w:colLast="0" w:name="_1ciedbxne3zo" w:id="4"/>
      <w:bookmarkEnd w:id="4"/>
      <w:r w:rsidDel="00000000" w:rsidR="00000000" w:rsidRPr="00000000">
        <w:rPr>
          <w:sz w:val="28"/>
          <w:szCs w:val="28"/>
          <w:rtl w:val="0"/>
        </w:rPr>
        <w:t xml:space="preserve">2 Segunda seção (Arial 14, negrito, justificado)</w:t>
      </w:r>
      <w:r w:rsidDel="00000000" w:rsidR="00000000" w:rsidRPr="00000000">
        <w:rPr>
          <w:rtl w:val="0"/>
        </w:rPr>
        <w:t xml:space="preserve"> </w:t>
      </w:r>
      <w:r w:rsidDel="00000000" w:rsidR="00000000" w:rsidRPr="00000000">
        <w:rPr>
          <w:b w:val="0"/>
          <w:bCs w:val="0"/>
          <w:color w:val="0000ff"/>
          <w:rtl w:val="0"/>
        </w:rPr>
        <w:t xml:space="preserve">(em maiúsculo apenas inicial, siglas e nome próprio)</w:t>
      </w:r>
      <w:r w:rsidDel="00000000" w:rsidR="00000000" w:rsidRPr="00000000">
        <w:rPr>
          <w:rtl w:val="0"/>
        </w:rPr>
      </w:r>
    </w:p>
    <w:p w:rsidR="00000000" w:rsidDel="00000000" w:rsidP="00000000" w:rsidRDefault="00000000" w:rsidRPr="00000000" w14:paraId="00000015">
      <w:pPr>
        <w:spacing w:line="360" w:lineRule="auto"/>
        <w:ind w:firstLine="708.6614173228347"/>
        <w:jc w:val="both"/>
        <w:rPr>
          <w:color w:val="ff0000"/>
          <w:sz w:val="24"/>
          <w:szCs w:val="24"/>
        </w:rPr>
      </w:pPr>
      <w:r w:rsidDel="00000000" w:rsidR="00000000" w:rsidRPr="00000000">
        <w:rPr>
          <w:sz w:val="24"/>
          <w:szCs w:val="24"/>
          <w:rtl w:val="0"/>
        </w:rPr>
        <w:t xml:space="preserve">As citações diretas longas (com mais de três linhas) devem ser deslocadas. Recuo de 4cm à esquerda. Sem aspas. Fonte Arial. Tamanho 10. Espaçamento simples (1,0). O ponto final vai após a referência. </w:t>
      </w:r>
      <w:r w:rsidDel="00000000" w:rsidR="00000000" w:rsidRPr="00000000">
        <w:rPr>
          <w:color w:val="ff0000"/>
          <w:sz w:val="24"/>
          <w:szCs w:val="24"/>
          <w:rtl w:val="0"/>
        </w:rPr>
        <w:t xml:space="preserve">Exemplo:</w:t>
      </w:r>
    </w:p>
    <w:p w:rsidR="00000000" w:rsidDel="00000000" w:rsidP="00000000" w:rsidRDefault="00000000" w:rsidRPr="00000000" w14:paraId="00000016">
      <w:pPr>
        <w:spacing w:line="240" w:lineRule="auto"/>
        <w:ind w:left="2267.716535433071" w:firstLine="0"/>
        <w:jc w:val="both"/>
        <w:rPr>
          <w:color w:val="ff0000"/>
          <w:sz w:val="20"/>
          <w:szCs w:val="20"/>
        </w:rPr>
      </w:pPr>
      <w:r w:rsidDel="00000000" w:rsidR="00000000" w:rsidRPr="00000000">
        <w:rPr>
          <w:color w:val="ff0000"/>
          <w:sz w:val="20"/>
          <w:szCs w:val="20"/>
          <w:rtl w:val="0"/>
        </w:rPr>
        <w:t xml:space="preserve">Die geistige Bildung, der moderne Verstand bringt im Menschen diesen Gegensatz hervor, der ihn zur Amphibie macht, indem er nun in zwei Welten zu leben hat, die sich widersprechen, so daß in diesem Widerspruch nun auch das Bewußtsein sich umhertreibt und, von der einen Seite herübergeworfen zu der anderen, unfähig ist, sich für sich in der einen wie in der anderen zu befriedigen (Hegel, </w:t>
      </w:r>
      <w:r w:rsidDel="00000000" w:rsidR="00000000" w:rsidRPr="00000000">
        <w:rPr>
          <w:color w:val="ff0000"/>
          <w:sz w:val="20"/>
          <w:szCs w:val="20"/>
          <w:rtl w:val="0"/>
        </w:rPr>
        <w:t xml:space="preserve">TWA</w:t>
      </w:r>
      <w:r w:rsidDel="00000000" w:rsidR="00000000" w:rsidRPr="00000000">
        <w:rPr>
          <w:color w:val="ff0000"/>
          <w:sz w:val="20"/>
          <w:szCs w:val="20"/>
          <w:rtl w:val="0"/>
        </w:rPr>
        <w:t xml:space="preserve"> 13, p. 80).</w:t>
      </w:r>
    </w:p>
    <w:p w:rsidR="00000000" w:rsidDel="00000000" w:rsidP="00000000" w:rsidRDefault="00000000" w:rsidRPr="00000000" w14:paraId="00000017">
      <w:pPr>
        <w:spacing w:line="360" w:lineRule="auto"/>
        <w:ind w:left="0" w:firstLine="708.6614173228347"/>
        <w:jc w:val="both"/>
        <w:rPr>
          <w:color w:val="999999"/>
          <w:sz w:val="24"/>
          <w:szCs w:val="24"/>
          <w:highlight w:val="white"/>
        </w:rPr>
      </w:pPr>
      <w:r w:rsidDel="00000000" w:rsidR="00000000" w:rsidRPr="00000000">
        <w:rPr>
          <w:color w:val="999999"/>
          <w:sz w:val="24"/>
          <w:szCs w:val="24"/>
          <w:highlight w:val="white"/>
          <w:rtl w:val="0"/>
        </w:rPr>
        <w:t xml:space="preserve">Linha em branco (Arial 12, espaçamento 1,5)</w:t>
      </w:r>
    </w:p>
    <w:p w:rsidR="00000000" w:rsidDel="00000000" w:rsidP="00000000" w:rsidRDefault="00000000" w:rsidRPr="00000000" w14:paraId="00000018">
      <w:pPr>
        <w:spacing w:line="360" w:lineRule="auto"/>
        <w:ind w:left="0" w:firstLine="708.6614173228347"/>
        <w:jc w:val="both"/>
        <w:rPr>
          <w:b w:val="1"/>
          <w:bCs w:val="1"/>
          <w:strike w:val="1"/>
          <w:sz w:val="24"/>
          <w:szCs w:val="24"/>
        </w:rPr>
      </w:pPr>
      <w:r w:rsidDel="00000000" w:rsidR="00000000" w:rsidRPr="00000000">
        <w:rPr>
          <w:sz w:val="24"/>
          <w:szCs w:val="24"/>
          <w:rtl w:val="0"/>
        </w:rPr>
        <w:t xml:space="preserve">As citações diretas longas (com mais de três linhas) e o próximo parágrafo do texto devem ser separados por uma linha em branco (espaçamento 1,5), conforme o exemplo acima.</w:t>
      </w:r>
      <w:r w:rsidDel="00000000" w:rsidR="00000000" w:rsidRPr="00000000">
        <w:rPr>
          <w:rtl w:val="0"/>
        </w:rPr>
      </w:r>
    </w:p>
    <w:p w:rsidR="00000000" w:rsidDel="00000000" w:rsidP="00000000" w:rsidRDefault="00000000" w:rsidRPr="00000000" w14:paraId="00000019">
      <w:pPr>
        <w:spacing w:line="360" w:lineRule="auto"/>
        <w:ind w:firstLine="708.6614173228347"/>
        <w:jc w:val="both"/>
        <w:rPr>
          <w:sz w:val="24"/>
          <w:szCs w:val="24"/>
        </w:rPr>
      </w:pPr>
      <w:r w:rsidDel="00000000" w:rsidR="00000000" w:rsidRPr="00000000">
        <w:rPr>
          <w:sz w:val="24"/>
          <w:szCs w:val="24"/>
          <w:rtl w:val="0"/>
        </w:rPr>
        <w:t xml:space="preserve">Nas citações traduzidas pelo próprio autor do trabalho, deve constar a expressão "tradução nossa" ou "tradução minha", conforme aplicável, sendo dispensada a apresentação da citação original em nota de rodapé.</w:t>
      </w:r>
      <w:r w:rsidDel="00000000" w:rsidR="00000000" w:rsidRPr="00000000">
        <w:rPr>
          <w:sz w:val="24"/>
          <w:szCs w:val="24"/>
          <w:rtl w:val="0"/>
        </w:rPr>
        <w:t xml:space="preserve"> </w:t>
      </w:r>
      <w:r w:rsidDel="00000000" w:rsidR="00000000" w:rsidRPr="00000000">
        <w:rPr>
          <w:color w:val="ff0000"/>
          <w:sz w:val="24"/>
          <w:szCs w:val="24"/>
          <w:rtl w:val="0"/>
        </w:rPr>
        <w:t xml:space="preserve">Exemplo: “Quando isso se concretiza, a atividade e a vitalidade desaparecem, e a falta de interesse que se segue é a morte espiritual ou física” (Hegel, TWA 7, §151, tradução minha)</w:t>
      </w:r>
      <w:r w:rsidDel="00000000" w:rsidR="00000000" w:rsidRPr="00000000">
        <w:rPr>
          <w:sz w:val="24"/>
          <w:szCs w:val="24"/>
          <w:rtl w:val="0"/>
        </w:rPr>
        <w:t xml:space="preserve">.</w:t>
      </w:r>
    </w:p>
    <w:p w:rsidR="00000000" w:rsidDel="00000000" w:rsidP="00000000" w:rsidRDefault="00000000" w:rsidRPr="00000000" w14:paraId="0000001A">
      <w:pPr>
        <w:spacing w:line="360" w:lineRule="auto"/>
        <w:ind w:firstLine="708.6614173228347"/>
        <w:jc w:val="both"/>
        <w:rPr>
          <w:sz w:val="24"/>
          <w:szCs w:val="24"/>
          <w:highlight w:val="yellow"/>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1B">
      <w:pPr>
        <w:pStyle w:val="Heading1"/>
        <w:spacing w:line="360" w:lineRule="auto"/>
        <w:jc w:val="both"/>
        <w:rPr/>
      </w:pPr>
      <w:bookmarkStart w:colFirst="0" w:colLast="0" w:name="_xq7a4ukd729p" w:id="5"/>
      <w:bookmarkEnd w:id="5"/>
      <w:r w:rsidDel="00000000" w:rsidR="00000000" w:rsidRPr="00000000">
        <w:rPr>
          <w:rFonts w:ascii="Arial" w:cs="Arial" w:eastAsia="Arial" w:hAnsi="Arial"/>
          <w:sz w:val="28"/>
          <w:szCs w:val="28"/>
          <w:rtl w:val="0"/>
        </w:rPr>
        <w:t xml:space="preserve">Considerações finais </w:t>
      </w:r>
      <w:r w:rsidDel="00000000" w:rsidR="00000000" w:rsidRPr="00000000">
        <w:rPr>
          <w:sz w:val="28"/>
          <w:szCs w:val="28"/>
          <w:rtl w:val="0"/>
        </w:rPr>
        <w:t xml:space="preserve">(Arial 14, negrito, justificado)</w:t>
      </w:r>
      <w:r w:rsidDel="00000000" w:rsidR="00000000" w:rsidRPr="00000000">
        <w:rPr>
          <w:rFonts w:ascii="Arial" w:cs="Arial" w:eastAsia="Arial" w:hAnsi="Arial"/>
          <w:sz w:val="28"/>
          <w:szCs w:val="28"/>
          <w:rtl w:val="0"/>
        </w:rPr>
        <w:t xml:space="preserve"> </w:t>
      </w:r>
      <w:r w:rsidDel="00000000" w:rsidR="00000000" w:rsidRPr="00000000">
        <w:rPr>
          <w:b w:val="0"/>
          <w:bCs w:val="0"/>
          <w:color w:val="0000ff"/>
          <w:rtl w:val="0"/>
        </w:rPr>
        <w:t xml:space="preserve">(em maiúsculo apenas inicial, siglas e nome próprio)</w:t>
      </w:r>
      <w:r w:rsidDel="00000000" w:rsidR="00000000" w:rsidRPr="00000000">
        <w:rPr>
          <w:rtl w:val="0"/>
        </w:rPr>
      </w:r>
    </w:p>
    <w:p w:rsidR="00000000" w:rsidDel="00000000" w:rsidP="00000000" w:rsidRDefault="00000000" w:rsidRPr="00000000" w14:paraId="0000001C">
      <w:pPr>
        <w:spacing w:line="360" w:lineRule="auto"/>
        <w:ind w:firstLine="708.6614173228347"/>
        <w:jc w:val="both"/>
        <w:rPr>
          <w:sz w:val="24"/>
          <w:szCs w:val="24"/>
        </w:rPr>
      </w:pPr>
      <w:r w:rsidDel="00000000" w:rsidR="00000000" w:rsidRPr="00000000">
        <w:rPr>
          <w:sz w:val="24"/>
          <w:szCs w:val="24"/>
          <w:rtl w:val="0"/>
        </w:rPr>
        <w:t xml:space="preserve">Lorem ipsum dolor sit amet, consectetur adipiscing elit. Proin ornare lorem ac massa porttitor, non auctor nisi rhoncus. Aliquam sit amet condimentum lacus. Aliquam non metus dui.</w:t>
      </w:r>
    </w:p>
    <w:p w:rsidR="00000000" w:rsidDel="00000000" w:rsidP="00000000" w:rsidRDefault="00000000" w:rsidRPr="00000000" w14:paraId="0000001D">
      <w:pPr>
        <w:spacing w:line="360" w:lineRule="auto"/>
        <w:ind w:firstLine="708.6614173228347"/>
        <w:jc w:val="both"/>
        <w:rPr>
          <w:sz w:val="24"/>
          <w:szCs w:val="24"/>
        </w:rPr>
      </w:pPr>
      <w:r w:rsidDel="00000000" w:rsidR="00000000" w:rsidRPr="00000000">
        <w:rPr>
          <w:sz w:val="24"/>
          <w:szCs w:val="24"/>
          <w:rtl w:val="0"/>
        </w:rPr>
        <w:t xml:space="preserve">Nullam non erat ante. Vestibulum iaculis justo quis ipsum pulvinar tristique vel in lectus. Pellentesque id commodo massa. Vestibulum et est mauris.</w:t>
      </w:r>
    </w:p>
    <w:p w:rsidR="00000000" w:rsidDel="00000000" w:rsidP="00000000" w:rsidRDefault="00000000" w:rsidRPr="00000000" w14:paraId="0000001E">
      <w:pPr>
        <w:spacing w:line="360" w:lineRule="auto"/>
        <w:ind w:firstLine="708.6614173228347"/>
        <w:jc w:val="both"/>
        <w:rPr>
          <w:sz w:val="24"/>
          <w:szCs w:val="24"/>
        </w:rPr>
      </w:pPr>
      <w:r w:rsidDel="00000000" w:rsidR="00000000" w:rsidRPr="00000000">
        <w:rPr>
          <w:color w:val="999999"/>
          <w:sz w:val="24"/>
          <w:szCs w:val="24"/>
          <w:highlight w:val="white"/>
          <w:rtl w:val="0"/>
        </w:rPr>
        <w:t xml:space="preserve">Linha em branco (Arial 12, espaçamento 1,5)</w:t>
      </w:r>
      <w:r w:rsidDel="00000000" w:rsidR="00000000" w:rsidRPr="00000000">
        <w:rPr>
          <w:rtl w:val="0"/>
        </w:rPr>
      </w:r>
    </w:p>
    <w:p w:rsidR="00000000" w:rsidDel="00000000" w:rsidP="00000000" w:rsidRDefault="00000000" w:rsidRPr="00000000" w14:paraId="0000001F">
      <w:pPr>
        <w:pStyle w:val="Heading1"/>
        <w:spacing w:line="360" w:lineRule="auto"/>
        <w:jc w:val="both"/>
        <w:rPr>
          <w:sz w:val="28"/>
          <w:szCs w:val="28"/>
        </w:rPr>
      </w:pPr>
      <w:bookmarkStart w:colFirst="0" w:colLast="0" w:name="_m2j9gvgrcgvv" w:id="6"/>
      <w:bookmarkEnd w:id="6"/>
      <w:r w:rsidDel="00000000" w:rsidR="00000000" w:rsidRPr="00000000">
        <w:rPr>
          <w:sz w:val="28"/>
          <w:szCs w:val="28"/>
          <w:rtl w:val="0"/>
        </w:rPr>
        <w:t xml:space="preserve">Referências</w:t>
      </w:r>
    </w:p>
    <w:p w:rsidR="00000000" w:rsidDel="00000000" w:rsidP="00000000" w:rsidRDefault="00000000" w:rsidRPr="00000000" w14:paraId="00000020">
      <w:pPr>
        <w:spacing w:before="0" w:line="240" w:lineRule="auto"/>
        <w:ind w:left="0" w:firstLine="0"/>
        <w:rPr>
          <w:color w:val="0000ff"/>
          <w:sz w:val="24"/>
          <w:szCs w:val="24"/>
        </w:rPr>
      </w:pPr>
      <w:r w:rsidDel="00000000" w:rsidR="00000000" w:rsidRPr="00000000">
        <w:rPr>
          <w:color w:val="0000ff"/>
          <w:sz w:val="24"/>
          <w:szCs w:val="24"/>
          <w:rtl w:val="0"/>
        </w:rPr>
        <w:t xml:space="preserve">O bloco das referências deve ser alinhado estritamente à esquerda (não utilize justificado aqui). Arial 12. Espaçamento entre linhas simples (1,0). Separe as referências utilizando uma linha em branco. Primeiro por ordem alfabética do último sobrenome e então por ordem cronológica decrescente. Incluir apenas os livros citados. Use os modelos abaixo. Quando houver mais de um autor, os nomes devem ser separados por ponto e vírgula (;).</w:t>
      </w:r>
    </w:p>
    <w:p w:rsidR="00000000" w:rsidDel="00000000" w:rsidP="00000000" w:rsidRDefault="00000000" w:rsidRPr="00000000" w14:paraId="00000021">
      <w:pPr>
        <w:spacing w:line="240" w:lineRule="auto"/>
        <w:rPr>
          <w:sz w:val="24"/>
          <w:szCs w:val="24"/>
        </w:rPr>
      </w:pPr>
      <w:r w:rsidDel="00000000" w:rsidR="00000000" w:rsidRPr="00000000">
        <w:rPr>
          <w:rtl w:val="0"/>
        </w:rPr>
      </w:r>
    </w:p>
    <w:p w:rsidR="00000000" w:rsidDel="00000000" w:rsidP="00000000" w:rsidRDefault="00000000" w:rsidRPr="00000000" w14:paraId="00000022">
      <w:pPr>
        <w:spacing w:line="240" w:lineRule="auto"/>
        <w:rPr>
          <w:color w:val="ff0000"/>
          <w:sz w:val="24"/>
          <w:szCs w:val="24"/>
        </w:rPr>
      </w:pPr>
      <w:r w:rsidDel="00000000" w:rsidR="00000000" w:rsidRPr="00000000">
        <w:rPr>
          <w:sz w:val="24"/>
          <w:szCs w:val="24"/>
          <w:rtl w:val="0"/>
        </w:rPr>
        <w:t xml:space="preserve">Helfer, Inácio. (Org.). </w:t>
      </w:r>
      <w:r w:rsidDel="00000000" w:rsidR="00000000" w:rsidRPr="00000000">
        <w:rPr>
          <w:i w:val="1"/>
          <w:iCs w:val="1"/>
          <w:sz w:val="24"/>
          <w:szCs w:val="24"/>
          <w:rtl w:val="0"/>
        </w:rPr>
        <w:t xml:space="preserve">Lógica e metafísica em Hegel</w:t>
      </w:r>
      <w:r w:rsidDel="00000000" w:rsidR="00000000" w:rsidRPr="00000000">
        <w:rPr>
          <w:sz w:val="24"/>
          <w:szCs w:val="24"/>
          <w:rtl w:val="0"/>
        </w:rPr>
        <w:t xml:space="preserve">. São Leopoldo: Unisinos, 2019. </w:t>
      </w:r>
      <w:r w:rsidDel="00000000" w:rsidR="00000000" w:rsidRPr="00000000">
        <w:rPr>
          <w:color w:val="ff0000"/>
          <w:sz w:val="24"/>
          <w:szCs w:val="24"/>
          <w:rtl w:val="0"/>
        </w:rPr>
        <w:t xml:space="preserve">(exemplo de coletânea)</w:t>
      </w:r>
    </w:p>
    <w:p w:rsidR="00000000" w:rsidDel="00000000" w:rsidP="00000000" w:rsidRDefault="00000000" w:rsidRPr="00000000" w14:paraId="00000023">
      <w:pPr>
        <w:spacing w:line="240" w:lineRule="auto"/>
        <w:rPr>
          <w:sz w:val="24"/>
          <w:szCs w:val="24"/>
        </w:rPr>
      </w:pPr>
      <w:r w:rsidDel="00000000" w:rsidR="00000000" w:rsidRPr="00000000">
        <w:rPr>
          <w:rtl w:val="0"/>
        </w:rPr>
      </w:r>
    </w:p>
    <w:p w:rsidR="00000000" w:rsidDel="00000000" w:rsidP="00000000" w:rsidRDefault="00000000" w:rsidRPr="00000000" w14:paraId="00000024">
      <w:pPr>
        <w:spacing w:line="240" w:lineRule="auto"/>
        <w:rPr>
          <w:color w:val="ff0000"/>
          <w:sz w:val="24"/>
          <w:szCs w:val="24"/>
        </w:rPr>
      </w:pPr>
      <w:r w:rsidDel="00000000" w:rsidR="00000000" w:rsidRPr="00000000">
        <w:rPr>
          <w:sz w:val="24"/>
          <w:szCs w:val="24"/>
          <w:rtl w:val="0"/>
        </w:rPr>
        <w:t xml:space="preserve">Hodgson, Peter. </w:t>
      </w:r>
      <w:r w:rsidDel="00000000" w:rsidR="00000000" w:rsidRPr="00000000">
        <w:rPr>
          <w:i w:val="1"/>
          <w:iCs w:val="1"/>
          <w:sz w:val="24"/>
          <w:szCs w:val="24"/>
          <w:rtl w:val="0"/>
        </w:rPr>
        <w:t xml:space="preserve">Shapes of Freedom: </w:t>
      </w:r>
      <w:r w:rsidDel="00000000" w:rsidR="00000000" w:rsidRPr="00000000">
        <w:rPr>
          <w:i w:val="1"/>
          <w:iCs w:val="1"/>
          <w:sz w:val="24"/>
          <w:szCs w:val="24"/>
          <w:rtl w:val="0"/>
        </w:rPr>
        <w:t xml:space="preserve">Hegel’s</w:t>
      </w:r>
      <w:r w:rsidDel="00000000" w:rsidR="00000000" w:rsidRPr="00000000">
        <w:rPr>
          <w:i w:val="1"/>
          <w:iCs w:val="1"/>
          <w:sz w:val="24"/>
          <w:szCs w:val="24"/>
          <w:rtl w:val="0"/>
        </w:rPr>
        <w:t xml:space="preserve"> Philosophy of World History in Theological Perspective</w:t>
      </w:r>
      <w:r w:rsidDel="00000000" w:rsidR="00000000" w:rsidRPr="00000000">
        <w:rPr>
          <w:sz w:val="24"/>
          <w:szCs w:val="24"/>
          <w:rtl w:val="0"/>
        </w:rPr>
        <w:t xml:space="preserve">. Oxford: Oxford University Press, 2012. </w:t>
      </w:r>
      <w:r w:rsidDel="00000000" w:rsidR="00000000" w:rsidRPr="00000000">
        <w:rPr>
          <w:color w:val="ff0000"/>
          <w:sz w:val="24"/>
          <w:szCs w:val="24"/>
          <w:rtl w:val="0"/>
        </w:rPr>
        <w:t xml:space="preserve">(exemplo de livro)</w:t>
      </w:r>
    </w:p>
    <w:p w:rsidR="00000000" w:rsidDel="00000000" w:rsidP="00000000" w:rsidRDefault="00000000" w:rsidRPr="00000000" w14:paraId="00000025">
      <w:pPr>
        <w:spacing w:line="240" w:lineRule="auto"/>
        <w:rPr>
          <w:sz w:val="24"/>
          <w:szCs w:val="24"/>
        </w:rPr>
      </w:pPr>
      <w:r w:rsidDel="00000000" w:rsidR="00000000" w:rsidRPr="00000000">
        <w:rPr>
          <w:rtl w:val="0"/>
        </w:rPr>
      </w:r>
    </w:p>
    <w:p w:rsidR="00000000" w:rsidDel="00000000" w:rsidP="00000000" w:rsidRDefault="00000000" w:rsidRPr="00000000" w14:paraId="00000026">
      <w:pPr>
        <w:spacing w:line="240" w:lineRule="auto"/>
        <w:rPr>
          <w:color w:val="ff0000"/>
          <w:sz w:val="24"/>
          <w:szCs w:val="24"/>
        </w:rPr>
      </w:pPr>
      <w:r w:rsidDel="00000000" w:rsidR="00000000" w:rsidRPr="00000000">
        <w:rPr>
          <w:sz w:val="24"/>
          <w:szCs w:val="24"/>
          <w:rtl w:val="0"/>
        </w:rPr>
        <w:t xml:space="preserve">Houlgate, </w:t>
      </w:r>
      <w:r w:rsidDel="00000000" w:rsidR="00000000" w:rsidRPr="00000000">
        <w:rPr>
          <w:sz w:val="24"/>
          <w:szCs w:val="24"/>
          <w:rtl w:val="0"/>
        </w:rPr>
        <w:t xml:space="preserve">Stephen</w:t>
      </w:r>
      <w:r w:rsidDel="00000000" w:rsidR="00000000" w:rsidRPr="00000000">
        <w:rPr>
          <w:sz w:val="24"/>
          <w:szCs w:val="24"/>
          <w:rtl w:val="0"/>
        </w:rPr>
        <w:t xml:space="preserve">; </w:t>
      </w:r>
      <w:r w:rsidDel="00000000" w:rsidR="00000000" w:rsidRPr="00000000">
        <w:rPr>
          <w:sz w:val="24"/>
          <w:szCs w:val="24"/>
          <w:rtl w:val="0"/>
        </w:rPr>
        <w:t xml:space="preserve">Baur</w:t>
      </w:r>
      <w:r w:rsidDel="00000000" w:rsidR="00000000" w:rsidRPr="00000000">
        <w:rPr>
          <w:sz w:val="24"/>
          <w:szCs w:val="24"/>
          <w:rtl w:val="0"/>
        </w:rPr>
        <w:t xml:space="preserve">, Michael. (Eds.). </w:t>
      </w:r>
      <w:r w:rsidDel="00000000" w:rsidR="00000000" w:rsidRPr="00000000">
        <w:rPr>
          <w:i w:val="1"/>
          <w:iCs w:val="1"/>
          <w:sz w:val="24"/>
          <w:szCs w:val="24"/>
          <w:rtl w:val="0"/>
        </w:rPr>
        <w:t xml:space="preserve">A Companion to Hegel</w:t>
      </w:r>
      <w:r w:rsidDel="00000000" w:rsidR="00000000" w:rsidRPr="00000000">
        <w:rPr>
          <w:sz w:val="24"/>
          <w:szCs w:val="24"/>
          <w:rtl w:val="0"/>
        </w:rPr>
        <w:t xml:space="preserve">. Oxford: Blackwell, 2011. </w:t>
      </w:r>
      <w:r w:rsidDel="00000000" w:rsidR="00000000" w:rsidRPr="00000000">
        <w:rPr>
          <w:color w:val="ff0000"/>
          <w:sz w:val="24"/>
          <w:szCs w:val="24"/>
          <w:rtl w:val="0"/>
        </w:rPr>
        <w:t xml:space="preserve">(exemplo de quando há mais de um autor, os nomes devem ser separados por ponto e vírgula)</w:t>
      </w:r>
    </w:p>
    <w:p w:rsidR="00000000" w:rsidDel="00000000" w:rsidP="00000000" w:rsidRDefault="00000000" w:rsidRPr="00000000" w14:paraId="00000027">
      <w:pPr>
        <w:spacing w:line="240" w:lineRule="auto"/>
        <w:rPr>
          <w:sz w:val="24"/>
          <w:szCs w:val="24"/>
        </w:rPr>
      </w:pPr>
      <w:r w:rsidDel="00000000" w:rsidR="00000000" w:rsidRPr="00000000">
        <w:rPr>
          <w:rtl w:val="0"/>
        </w:rPr>
      </w:r>
    </w:p>
    <w:p w:rsidR="00000000" w:rsidDel="00000000" w:rsidP="00000000" w:rsidRDefault="00000000" w:rsidRPr="00000000" w14:paraId="00000028">
      <w:pPr>
        <w:spacing w:line="240" w:lineRule="auto"/>
        <w:rPr>
          <w:color w:val="ff0000"/>
          <w:sz w:val="24"/>
          <w:szCs w:val="24"/>
        </w:rPr>
      </w:pPr>
      <w:r w:rsidDel="00000000" w:rsidR="00000000" w:rsidRPr="00000000">
        <w:rPr>
          <w:sz w:val="24"/>
          <w:szCs w:val="24"/>
          <w:rtl w:val="0"/>
        </w:rPr>
        <w:t xml:space="preserve">Müller, Marcos Lutz. A contradição dialética e a sua resolução no fundamento. In: Helfer, Inácio. (Org.). </w:t>
      </w:r>
      <w:r w:rsidDel="00000000" w:rsidR="00000000" w:rsidRPr="00000000">
        <w:rPr>
          <w:i w:val="1"/>
          <w:iCs w:val="1"/>
          <w:sz w:val="24"/>
          <w:szCs w:val="24"/>
          <w:rtl w:val="0"/>
        </w:rPr>
        <w:t xml:space="preserve">Lógica e metafísica em Hegel</w:t>
      </w:r>
      <w:r w:rsidDel="00000000" w:rsidR="00000000" w:rsidRPr="00000000">
        <w:rPr>
          <w:sz w:val="24"/>
          <w:szCs w:val="24"/>
          <w:rtl w:val="0"/>
        </w:rPr>
        <w:t xml:space="preserve">. São Leopoldo: Unisinos, 2019, 123-149. </w:t>
      </w:r>
      <w:r w:rsidDel="00000000" w:rsidR="00000000" w:rsidRPr="00000000">
        <w:rPr>
          <w:color w:val="ff0000"/>
          <w:sz w:val="24"/>
          <w:szCs w:val="24"/>
          <w:rtl w:val="0"/>
        </w:rPr>
        <w:t xml:space="preserve">(exemplo de capítulo de coletânea)</w:t>
      </w:r>
    </w:p>
    <w:p w:rsidR="00000000" w:rsidDel="00000000" w:rsidP="00000000" w:rsidRDefault="00000000" w:rsidRPr="00000000" w14:paraId="00000029">
      <w:pPr>
        <w:spacing w:line="240" w:lineRule="auto"/>
        <w:rPr>
          <w:sz w:val="24"/>
          <w:szCs w:val="24"/>
        </w:rPr>
      </w:pPr>
      <w:r w:rsidDel="00000000" w:rsidR="00000000" w:rsidRPr="00000000">
        <w:rPr>
          <w:rtl w:val="0"/>
        </w:rPr>
      </w:r>
    </w:p>
    <w:p w:rsidR="00000000" w:rsidDel="00000000" w:rsidP="00000000" w:rsidRDefault="00000000" w:rsidRPr="00000000" w14:paraId="0000002A">
      <w:pPr>
        <w:spacing w:line="240" w:lineRule="auto"/>
        <w:rPr>
          <w:color w:val="ff0000"/>
          <w:sz w:val="24"/>
          <w:szCs w:val="24"/>
        </w:rPr>
      </w:pPr>
      <w:r w:rsidDel="00000000" w:rsidR="00000000" w:rsidRPr="00000000">
        <w:rPr>
          <w:sz w:val="24"/>
          <w:szCs w:val="24"/>
          <w:rtl w:val="0"/>
        </w:rPr>
        <w:t xml:space="preserve">Müller, Marcos Lutz. A gênese lógica do conceito especulativo de liberdade. </w:t>
      </w:r>
      <w:r w:rsidDel="00000000" w:rsidR="00000000" w:rsidRPr="00000000">
        <w:rPr>
          <w:i w:val="1"/>
          <w:iCs w:val="1"/>
          <w:sz w:val="24"/>
          <w:szCs w:val="24"/>
          <w:rtl w:val="0"/>
        </w:rPr>
        <w:t xml:space="preserve">Analytica</w:t>
      </w:r>
      <w:r w:rsidDel="00000000" w:rsidR="00000000" w:rsidRPr="00000000">
        <w:rPr>
          <w:sz w:val="24"/>
          <w:szCs w:val="24"/>
          <w:rtl w:val="0"/>
        </w:rPr>
        <w:t xml:space="preserve">, 1 (1), 1993, p. 77-141. </w:t>
      </w:r>
      <w:r w:rsidDel="00000000" w:rsidR="00000000" w:rsidRPr="00000000">
        <w:rPr>
          <w:color w:val="ff0000"/>
          <w:sz w:val="24"/>
          <w:szCs w:val="24"/>
          <w:rtl w:val="0"/>
        </w:rPr>
        <w:t xml:space="preserve">(exemplo de artigo)</w:t>
      </w:r>
    </w:p>
    <w:p w:rsidR="00000000" w:rsidDel="00000000" w:rsidP="00000000" w:rsidRDefault="00000000" w:rsidRPr="00000000" w14:paraId="0000002B">
      <w:pPr>
        <w:spacing w:line="240" w:lineRule="auto"/>
        <w:rPr>
          <w:sz w:val="24"/>
          <w:szCs w:val="24"/>
        </w:rPr>
      </w:pPr>
      <w:r w:rsidDel="00000000" w:rsidR="00000000" w:rsidRPr="00000000">
        <w:rPr>
          <w:rtl w:val="0"/>
        </w:rPr>
      </w:r>
    </w:p>
    <w:p w:rsidR="00000000" w:rsidDel="00000000" w:rsidP="00000000" w:rsidRDefault="00000000" w:rsidRPr="00000000" w14:paraId="0000002C">
      <w:pPr>
        <w:spacing w:line="240" w:lineRule="auto"/>
        <w:rPr>
          <w:color w:val="ff0000"/>
          <w:sz w:val="24"/>
          <w:szCs w:val="24"/>
        </w:rPr>
      </w:pPr>
      <w:r w:rsidDel="00000000" w:rsidR="00000000" w:rsidRPr="00000000">
        <w:rPr>
          <w:sz w:val="24"/>
          <w:szCs w:val="24"/>
          <w:rtl w:val="0"/>
        </w:rPr>
        <w:t xml:space="preserve">Novakovic, Andreja. </w:t>
      </w:r>
      <w:r w:rsidDel="00000000" w:rsidR="00000000" w:rsidRPr="00000000">
        <w:rPr>
          <w:i w:val="1"/>
          <w:iCs w:val="1"/>
          <w:sz w:val="24"/>
          <w:szCs w:val="24"/>
          <w:rtl w:val="0"/>
        </w:rPr>
        <w:t xml:space="preserve">Hegel on Second Nature in Ethical Life</w:t>
      </w:r>
      <w:r w:rsidDel="00000000" w:rsidR="00000000" w:rsidRPr="00000000">
        <w:rPr>
          <w:sz w:val="24"/>
          <w:szCs w:val="24"/>
          <w:rtl w:val="0"/>
        </w:rPr>
        <w:t xml:space="preserve">. Cambridge: Cambridge University Press, 2017. </w:t>
      </w:r>
      <w:r w:rsidDel="00000000" w:rsidR="00000000" w:rsidRPr="00000000">
        <w:rPr>
          <w:color w:val="ff0000"/>
          <w:sz w:val="24"/>
          <w:szCs w:val="24"/>
          <w:rtl w:val="0"/>
        </w:rPr>
        <w:t xml:space="preserve">(exemplo de livro)</w:t>
      </w:r>
    </w:p>
    <w:p w:rsidR="00000000" w:rsidDel="00000000" w:rsidP="00000000" w:rsidRDefault="00000000" w:rsidRPr="00000000" w14:paraId="0000002D">
      <w:pPr>
        <w:spacing w:line="240" w:lineRule="auto"/>
        <w:rPr>
          <w:sz w:val="24"/>
          <w:szCs w:val="24"/>
        </w:rPr>
      </w:pPr>
      <w:r w:rsidDel="00000000" w:rsidR="00000000" w:rsidRPr="00000000">
        <w:rPr>
          <w:rtl w:val="0"/>
        </w:rPr>
      </w:r>
    </w:p>
    <w:p w:rsidR="00000000" w:rsidDel="00000000" w:rsidP="00000000" w:rsidRDefault="00000000" w:rsidRPr="00000000" w14:paraId="0000002E">
      <w:pPr>
        <w:spacing w:line="240" w:lineRule="auto"/>
        <w:rPr>
          <w:color w:val="0000ff"/>
          <w:sz w:val="24"/>
          <w:szCs w:val="24"/>
        </w:rPr>
      </w:pPr>
      <w:r w:rsidDel="00000000" w:rsidR="00000000" w:rsidRPr="00000000">
        <w:rPr>
          <w:color w:val="0000ff"/>
          <w:sz w:val="24"/>
          <w:szCs w:val="24"/>
          <w:rtl w:val="0"/>
        </w:rPr>
        <w:t xml:space="preserve">Lista com as principais traduções brasileiras das obras de Hegel, já na formatação pedida. Se necessário, adicionar a edição (1ª, 2ª…) e atualizar o ano de publicação conforme a edição.</w:t>
      </w:r>
    </w:p>
    <w:p w:rsidR="00000000" w:rsidDel="00000000" w:rsidP="00000000" w:rsidRDefault="00000000" w:rsidRPr="00000000" w14:paraId="0000002F">
      <w:pPr>
        <w:spacing w:line="240" w:lineRule="auto"/>
        <w:rPr>
          <w:sz w:val="24"/>
          <w:szCs w:val="24"/>
        </w:rPr>
      </w:pPr>
      <w:r w:rsidDel="00000000" w:rsidR="00000000" w:rsidRPr="00000000">
        <w:rPr>
          <w:rtl w:val="0"/>
        </w:rPr>
      </w:r>
    </w:p>
    <w:p w:rsidR="00000000" w:rsidDel="00000000" w:rsidP="00000000" w:rsidRDefault="00000000" w:rsidRPr="00000000" w14:paraId="00000030">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Introdução aos cursos de filosofia da história</w:t>
      </w:r>
      <w:r w:rsidDel="00000000" w:rsidR="00000000" w:rsidRPr="00000000">
        <w:rPr>
          <w:sz w:val="24"/>
          <w:szCs w:val="24"/>
          <w:rtl w:val="0"/>
        </w:rPr>
        <w:t xml:space="preserve">. Trad. Oliver Tolle. Cotia: Casa Matinas, 2026.</w:t>
      </w:r>
    </w:p>
    <w:p w:rsidR="00000000" w:rsidDel="00000000" w:rsidP="00000000" w:rsidRDefault="00000000" w:rsidRPr="00000000" w14:paraId="00000031">
      <w:pPr>
        <w:spacing w:line="240" w:lineRule="auto"/>
        <w:rPr>
          <w:sz w:val="24"/>
          <w:szCs w:val="24"/>
        </w:rPr>
      </w:pPr>
      <w:r w:rsidDel="00000000" w:rsidR="00000000" w:rsidRPr="00000000">
        <w:rPr>
          <w:rtl w:val="0"/>
        </w:rPr>
      </w:r>
    </w:p>
    <w:p w:rsidR="00000000" w:rsidDel="00000000" w:rsidP="00000000" w:rsidRDefault="00000000" w:rsidRPr="00000000" w14:paraId="00000032">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Linhas fundamentais da filosofia do direito: direito natural e ciência do estado no seu traçado fundamental</w:t>
      </w:r>
      <w:r w:rsidDel="00000000" w:rsidR="00000000" w:rsidRPr="00000000">
        <w:rPr>
          <w:sz w:val="24"/>
          <w:szCs w:val="24"/>
          <w:rtl w:val="0"/>
        </w:rPr>
        <w:t xml:space="preserve">. Trad. Marcos Lutz Müller. São Paulo: Editora 34, 2022.</w:t>
      </w:r>
      <w:r w:rsidDel="00000000" w:rsidR="00000000" w:rsidRPr="00000000">
        <w:rPr>
          <w:rtl w:val="0"/>
        </w:rPr>
      </w:r>
    </w:p>
    <w:p w:rsidR="00000000" w:rsidDel="00000000" w:rsidP="00000000" w:rsidRDefault="00000000" w:rsidRPr="00000000" w14:paraId="00000033">
      <w:pPr>
        <w:spacing w:line="240" w:lineRule="auto"/>
        <w:rPr>
          <w:sz w:val="24"/>
          <w:szCs w:val="24"/>
        </w:rPr>
      </w:pPr>
      <w:r w:rsidDel="00000000" w:rsidR="00000000" w:rsidRPr="00000000">
        <w:rPr>
          <w:rtl w:val="0"/>
        </w:rPr>
      </w:r>
    </w:p>
    <w:p w:rsidR="00000000" w:rsidDel="00000000" w:rsidP="00000000" w:rsidRDefault="00000000" w:rsidRPr="00000000" w14:paraId="00000034">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Ciência da lógica: 3. A doutrina do conceito</w:t>
      </w:r>
      <w:r w:rsidDel="00000000" w:rsidR="00000000" w:rsidRPr="00000000">
        <w:rPr>
          <w:sz w:val="24"/>
          <w:szCs w:val="24"/>
          <w:rtl w:val="0"/>
        </w:rPr>
        <w:t xml:space="preserve">. Trad. Christian G. Iber, Federico Orsini. Petrópolis: Vozes, 2018.</w:t>
      </w:r>
    </w:p>
    <w:p w:rsidR="00000000" w:rsidDel="00000000" w:rsidP="00000000" w:rsidRDefault="00000000" w:rsidRPr="00000000" w14:paraId="00000035">
      <w:pPr>
        <w:spacing w:line="240" w:lineRule="auto"/>
        <w:rPr>
          <w:sz w:val="24"/>
          <w:szCs w:val="24"/>
        </w:rPr>
      </w:pPr>
      <w:r w:rsidDel="00000000" w:rsidR="00000000" w:rsidRPr="00000000">
        <w:rPr>
          <w:rtl w:val="0"/>
        </w:rPr>
      </w:r>
    </w:p>
    <w:p w:rsidR="00000000" w:rsidDel="00000000" w:rsidP="00000000" w:rsidRDefault="00000000" w:rsidRPr="00000000" w14:paraId="00000036">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Ciência da lógica: 2. A doutrina da essência</w:t>
      </w:r>
      <w:r w:rsidDel="00000000" w:rsidR="00000000" w:rsidRPr="00000000">
        <w:rPr>
          <w:sz w:val="24"/>
          <w:szCs w:val="24"/>
          <w:rtl w:val="0"/>
        </w:rPr>
        <w:t xml:space="preserve">. Trad. Christian G. Iber, Federico Orsini. Petrópolis: Vozes, 2017.</w:t>
      </w:r>
    </w:p>
    <w:p w:rsidR="00000000" w:rsidDel="00000000" w:rsidP="00000000" w:rsidRDefault="00000000" w:rsidRPr="00000000" w14:paraId="00000037">
      <w:pPr>
        <w:spacing w:line="240" w:lineRule="auto"/>
        <w:rPr>
          <w:sz w:val="24"/>
          <w:szCs w:val="24"/>
        </w:rPr>
      </w:pPr>
      <w:r w:rsidDel="00000000" w:rsidR="00000000" w:rsidRPr="00000000">
        <w:rPr>
          <w:rtl w:val="0"/>
        </w:rPr>
      </w:r>
    </w:p>
    <w:p w:rsidR="00000000" w:rsidDel="00000000" w:rsidP="00000000" w:rsidRDefault="00000000" w:rsidRPr="00000000" w14:paraId="00000038">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Ciência da lógica: 1. A doutrina do ser</w:t>
      </w:r>
      <w:r w:rsidDel="00000000" w:rsidR="00000000" w:rsidRPr="00000000">
        <w:rPr>
          <w:sz w:val="24"/>
          <w:szCs w:val="24"/>
          <w:rtl w:val="0"/>
        </w:rPr>
        <w:t xml:space="preserve">. Trad. Christian G. Iber, Marloren L. Miranda, Federico Orsini. Petrópolis: Vozes, 2016.</w:t>
      </w:r>
    </w:p>
    <w:p w:rsidR="00000000" w:rsidDel="00000000" w:rsidP="00000000" w:rsidRDefault="00000000" w:rsidRPr="00000000" w14:paraId="00000039">
      <w:pPr>
        <w:spacing w:line="240" w:lineRule="auto"/>
        <w:rPr>
          <w:sz w:val="24"/>
          <w:szCs w:val="24"/>
        </w:rPr>
      </w:pPr>
      <w:r w:rsidDel="00000000" w:rsidR="00000000" w:rsidRPr="00000000">
        <w:rPr>
          <w:rtl w:val="0"/>
        </w:rPr>
      </w:r>
    </w:p>
    <w:p w:rsidR="00000000" w:rsidDel="00000000" w:rsidP="00000000" w:rsidRDefault="00000000" w:rsidRPr="00000000" w14:paraId="0000003A">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Linhas fundamentais da filosofia do direito, ou direito natural e ciência do estado em compêndio</w:t>
      </w:r>
      <w:r w:rsidDel="00000000" w:rsidR="00000000" w:rsidRPr="00000000">
        <w:rPr>
          <w:sz w:val="24"/>
          <w:szCs w:val="24"/>
          <w:rtl w:val="0"/>
        </w:rPr>
        <w:t xml:space="preserve">. Trad. Paulo Meneses </w:t>
      </w:r>
      <w:r w:rsidDel="00000000" w:rsidR="00000000" w:rsidRPr="00000000">
        <w:rPr>
          <w:sz w:val="24"/>
          <w:szCs w:val="24"/>
          <w:rtl w:val="0"/>
        </w:rPr>
        <w:t xml:space="preserve">et al</w:t>
      </w:r>
      <w:r w:rsidDel="00000000" w:rsidR="00000000" w:rsidRPr="00000000">
        <w:rPr>
          <w:sz w:val="24"/>
          <w:szCs w:val="24"/>
          <w:rtl w:val="0"/>
        </w:rPr>
        <w:t xml:space="preserve">. São Leopoldo: Unisinos, 2010.</w:t>
      </w:r>
    </w:p>
    <w:p w:rsidR="00000000" w:rsidDel="00000000" w:rsidP="00000000" w:rsidRDefault="00000000" w:rsidRPr="00000000" w14:paraId="0000003B">
      <w:pPr>
        <w:spacing w:line="240" w:lineRule="auto"/>
        <w:rPr>
          <w:sz w:val="24"/>
          <w:szCs w:val="24"/>
        </w:rPr>
      </w:pPr>
      <w:r w:rsidDel="00000000" w:rsidR="00000000" w:rsidRPr="00000000">
        <w:rPr>
          <w:rtl w:val="0"/>
        </w:rPr>
      </w:r>
    </w:p>
    <w:p w:rsidR="00000000" w:rsidDel="00000000" w:rsidP="00000000" w:rsidRDefault="00000000" w:rsidRPr="00000000" w14:paraId="0000003C">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Cursos de Estética IV</w:t>
      </w:r>
      <w:r w:rsidDel="00000000" w:rsidR="00000000" w:rsidRPr="00000000">
        <w:rPr>
          <w:sz w:val="24"/>
          <w:szCs w:val="24"/>
          <w:rtl w:val="0"/>
        </w:rPr>
        <w:t xml:space="preserve">. Trad. Marco Aurélio Werle, Oliver Tolle. São Paulo: Edusp, 2004.</w:t>
      </w:r>
    </w:p>
    <w:p w:rsidR="00000000" w:rsidDel="00000000" w:rsidP="00000000" w:rsidRDefault="00000000" w:rsidRPr="00000000" w14:paraId="0000003D">
      <w:pPr>
        <w:spacing w:line="240" w:lineRule="auto"/>
        <w:rPr>
          <w:sz w:val="24"/>
          <w:szCs w:val="24"/>
        </w:rPr>
      </w:pPr>
      <w:r w:rsidDel="00000000" w:rsidR="00000000" w:rsidRPr="00000000">
        <w:rPr>
          <w:rtl w:val="0"/>
        </w:rPr>
      </w:r>
    </w:p>
    <w:p w:rsidR="00000000" w:rsidDel="00000000" w:rsidP="00000000" w:rsidRDefault="00000000" w:rsidRPr="00000000" w14:paraId="0000003E">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Cursos de Estética III</w:t>
      </w:r>
      <w:r w:rsidDel="00000000" w:rsidR="00000000" w:rsidRPr="00000000">
        <w:rPr>
          <w:sz w:val="24"/>
          <w:szCs w:val="24"/>
          <w:rtl w:val="0"/>
        </w:rPr>
        <w:t xml:space="preserve">. Trad. Marco Aurélio Werle, Oliver Tolle. São Paulo: Edusp, 2002.</w:t>
      </w:r>
    </w:p>
    <w:p w:rsidR="00000000" w:rsidDel="00000000" w:rsidP="00000000" w:rsidRDefault="00000000" w:rsidRPr="00000000" w14:paraId="0000003F">
      <w:pPr>
        <w:spacing w:line="240" w:lineRule="auto"/>
        <w:rPr>
          <w:sz w:val="24"/>
          <w:szCs w:val="24"/>
        </w:rPr>
      </w:pPr>
      <w:r w:rsidDel="00000000" w:rsidR="00000000" w:rsidRPr="00000000">
        <w:rPr>
          <w:rtl w:val="0"/>
        </w:rPr>
      </w:r>
    </w:p>
    <w:p w:rsidR="00000000" w:rsidDel="00000000" w:rsidP="00000000" w:rsidRDefault="00000000" w:rsidRPr="00000000" w14:paraId="00000040">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Cursos de Estética II</w:t>
      </w:r>
      <w:r w:rsidDel="00000000" w:rsidR="00000000" w:rsidRPr="00000000">
        <w:rPr>
          <w:sz w:val="24"/>
          <w:szCs w:val="24"/>
          <w:rtl w:val="0"/>
        </w:rPr>
        <w:t xml:space="preserve">. Trad. Marco Aurélio Werle, Oliver Tolle. São Paulo: Edusp, 2000.</w:t>
      </w:r>
    </w:p>
    <w:p w:rsidR="00000000" w:rsidDel="00000000" w:rsidP="00000000" w:rsidRDefault="00000000" w:rsidRPr="00000000" w14:paraId="00000041">
      <w:pPr>
        <w:spacing w:line="240" w:lineRule="auto"/>
        <w:rPr>
          <w:sz w:val="24"/>
          <w:szCs w:val="24"/>
        </w:rPr>
      </w:pPr>
      <w:r w:rsidDel="00000000" w:rsidR="00000000" w:rsidRPr="00000000">
        <w:rPr>
          <w:rtl w:val="0"/>
        </w:rPr>
      </w:r>
    </w:p>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Cursos de Estética I</w:t>
      </w:r>
      <w:r w:rsidDel="00000000" w:rsidR="00000000" w:rsidRPr="00000000">
        <w:rPr>
          <w:sz w:val="24"/>
          <w:szCs w:val="24"/>
          <w:rtl w:val="0"/>
        </w:rPr>
        <w:t xml:space="preserve">. Trad. Marco Aurélio Werle. São Paulo: Edusp, 1999.</w:t>
      </w:r>
    </w:p>
    <w:p w:rsidR="00000000" w:rsidDel="00000000" w:rsidP="00000000" w:rsidRDefault="00000000" w:rsidRPr="00000000" w14:paraId="00000043">
      <w:pPr>
        <w:spacing w:line="240" w:lineRule="auto"/>
        <w:rPr>
          <w:sz w:val="24"/>
          <w:szCs w:val="24"/>
        </w:rPr>
      </w:pPr>
      <w:r w:rsidDel="00000000" w:rsidR="00000000" w:rsidRPr="00000000">
        <w:rPr>
          <w:rtl w:val="0"/>
        </w:rPr>
      </w:r>
    </w:p>
    <w:p w:rsidR="00000000" w:rsidDel="00000000" w:rsidP="00000000" w:rsidRDefault="00000000" w:rsidRPr="00000000" w14:paraId="00000044">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Filosofia da história</w:t>
      </w:r>
      <w:r w:rsidDel="00000000" w:rsidR="00000000" w:rsidRPr="00000000">
        <w:rPr>
          <w:sz w:val="24"/>
          <w:szCs w:val="24"/>
          <w:rtl w:val="0"/>
        </w:rPr>
        <w:t xml:space="preserve">. Trad. Maria Rodrigues, Hans Harden. Brasília: UnB, 1995.</w:t>
      </w:r>
    </w:p>
    <w:p w:rsidR="00000000" w:rsidDel="00000000" w:rsidP="00000000" w:rsidRDefault="00000000" w:rsidRPr="00000000" w14:paraId="00000045">
      <w:pPr>
        <w:spacing w:line="240" w:lineRule="auto"/>
        <w:rPr>
          <w:sz w:val="24"/>
          <w:szCs w:val="24"/>
        </w:rPr>
      </w:pPr>
      <w:r w:rsidDel="00000000" w:rsidR="00000000" w:rsidRPr="00000000">
        <w:rPr>
          <w:rtl w:val="0"/>
        </w:rPr>
      </w:r>
    </w:p>
    <w:p w:rsidR="00000000" w:rsidDel="00000000" w:rsidP="00000000" w:rsidRDefault="00000000" w:rsidRPr="00000000" w14:paraId="00000046">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Enciclopédia das ciências filosóficas em compêndio (1830) – vol. 2: A filosofia da natureza</w:t>
      </w:r>
      <w:r w:rsidDel="00000000" w:rsidR="00000000" w:rsidRPr="00000000">
        <w:rPr>
          <w:sz w:val="24"/>
          <w:szCs w:val="24"/>
          <w:rtl w:val="0"/>
        </w:rPr>
        <w:t xml:space="preserve">. Trad. Paulo Meneses, José Nogueira Machado. São Paulo: Loyola, 1997.</w:t>
      </w:r>
    </w:p>
    <w:p w:rsidR="00000000" w:rsidDel="00000000" w:rsidP="00000000" w:rsidRDefault="00000000" w:rsidRPr="00000000" w14:paraId="00000047">
      <w:pPr>
        <w:spacing w:line="240" w:lineRule="auto"/>
        <w:rPr>
          <w:sz w:val="24"/>
          <w:szCs w:val="24"/>
        </w:rPr>
      </w:pPr>
      <w:r w:rsidDel="00000000" w:rsidR="00000000" w:rsidRPr="00000000">
        <w:rPr>
          <w:rtl w:val="0"/>
        </w:rPr>
      </w:r>
    </w:p>
    <w:p w:rsidR="00000000" w:rsidDel="00000000" w:rsidP="00000000" w:rsidRDefault="00000000" w:rsidRPr="00000000" w14:paraId="00000048">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Enciclopédia das ciências filosóficas em compêndio (1830) – vol. 3: A filosofia do espírito</w:t>
      </w:r>
      <w:r w:rsidDel="00000000" w:rsidR="00000000" w:rsidRPr="00000000">
        <w:rPr>
          <w:sz w:val="24"/>
          <w:szCs w:val="24"/>
          <w:rtl w:val="0"/>
        </w:rPr>
        <w:t xml:space="preserve">. Trad. Paulo Meneses, José Nogueira Machado. São Paulo: Loyola, 1995.</w:t>
      </w:r>
    </w:p>
    <w:p w:rsidR="00000000" w:rsidDel="00000000" w:rsidP="00000000" w:rsidRDefault="00000000" w:rsidRPr="00000000" w14:paraId="00000049">
      <w:pPr>
        <w:spacing w:line="240" w:lineRule="auto"/>
        <w:rPr>
          <w:sz w:val="24"/>
          <w:szCs w:val="24"/>
        </w:rPr>
      </w:pPr>
      <w:r w:rsidDel="00000000" w:rsidR="00000000" w:rsidRPr="00000000">
        <w:rPr>
          <w:rtl w:val="0"/>
        </w:rPr>
      </w:r>
    </w:p>
    <w:p w:rsidR="00000000" w:rsidDel="00000000" w:rsidP="00000000" w:rsidRDefault="00000000" w:rsidRPr="00000000" w14:paraId="0000004A">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Fenomenologia do espírito</w:t>
      </w:r>
      <w:r w:rsidDel="00000000" w:rsidR="00000000" w:rsidRPr="00000000">
        <w:rPr>
          <w:sz w:val="24"/>
          <w:szCs w:val="24"/>
          <w:rtl w:val="0"/>
        </w:rPr>
        <w:t xml:space="preserve">. Trad. Paulo Meneses, Karl-Heinz Efken, José Nogueira Machado. Petrópolis: Vozes, 1992.</w:t>
      </w:r>
    </w:p>
    <w:p w:rsidR="00000000" w:rsidDel="00000000" w:rsidP="00000000" w:rsidRDefault="00000000" w:rsidRPr="00000000" w14:paraId="0000004B">
      <w:pPr>
        <w:spacing w:line="240" w:lineRule="auto"/>
        <w:rPr>
          <w:sz w:val="24"/>
          <w:szCs w:val="24"/>
        </w:rPr>
      </w:pPr>
      <w:r w:rsidDel="00000000" w:rsidR="00000000" w:rsidRPr="00000000">
        <w:rPr>
          <w:rtl w:val="0"/>
        </w:rPr>
      </w:r>
    </w:p>
    <w:p w:rsidR="00000000" w:rsidDel="00000000" w:rsidP="00000000" w:rsidRDefault="00000000" w:rsidRPr="00000000" w14:paraId="0000004C">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Enciclopédia das ciências filosóficas em compêndio (1830) – vol. 1: A ciência da lógica</w:t>
      </w:r>
      <w:r w:rsidDel="00000000" w:rsidR="00000000" w:rsidRPr="00000000">
        <w:rPr>
          <w:sz w:val="24"/>
          <w:szCs w:val="24"/>
          <w:rtl w:val="0"/>
        </w:rPr>
        <w:t xml:space="preserve">. Trad. Paulo Meneses, José Nogueira Machado. São Paulo: Loyola, 1985.</w:t>
      </w:r>
    </w:p>
    <w:p w:rsidR="00000000" w:rsidDel="00000000" w:rsidP="00000000" w:rsidRDefault="00000000" w:rsidRPr="00000000" w14:paraId="0000004D">
      <w:pPr>
        <w:spacing w:line="240" w:lineRule="auto"/>
        <w:rPr>
          <w:sz w:val="24"/>
          <w:szCs w:val="24"/>
        </w:rPr>
      </w:pPr>
      <w:r w:rsidDel="00000000" w:rsidR="00000000" w:rsidRPr="00000000">
        <w:rPr>
          <w:rtl w:val="0"/>
        </w:rPr>
      </w:r>
    </w:p>
    <w:p w:rsidR="00000000" w:rsidDel="00000000" w:rsidP="00000000" w:rsidRDefault="00000000" w:rsidRPr="00000000" w14:paraId="0000004E">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Vorlesungen. Ausgewählte, Nachschriften und Manuskripte in 17 Bänden</w:t>
      </w:r>
      <w:r w:rsidDel="00000000" w:rsidR="00000000" w:rsidRPr="00000000">
        <w:rPr>
          <w:sz w:val="24"/>
          <w:szCs w:val="24"/>
          <w:rtl w:val="0"/>
        </w:rPr>
        <w:t xml:space="preserve">. Hg. Pierre </w:t>
      </w:r>
      <w:r w:rsidDel="00000000" w:rsidR="00000000" w:rsidRPr="00000000">
        <w:rPr>
          <w:sz w:val="24"/>
          <w:szCs w:val="24"/>
          <w:rtl w:val="0"/>
        </w:rPr>
        <w:t xml:space="preserve">Garniron,</w:t>
      </w:r>
      <w:r w:rsidDel="00000000" w:rsidR="00000000" w:rsidRPr="00000000">
        <w:rPr>
          <w:sz w:val="24"/>
          <w:szCs w:val="24"/>
          <w:rtl w:val="0"/>
        </w:rPr>
        <w:t xml:space="preserve"> Walter Jaeschke. Hamburg: Meiner, 1983.</w:t>
      </w:r>
    </w:p>
    <w:p w:rsidR="00000000" w:rsidDel="00000000" w:rsidP="00000000" w:rsidRDefault="00000000" w:rsidRPr="00000000" w14:paraId="0000004F">
      <w:pPr>
        <w:spacing w:line="240" w:lineRule="auto"/>
        <w:rPr>
          <w:sz w:val="24"/>
          <w:szCs w:val="24"/>
        </w:rPr>
      </w:pPr>
      <w:r w:rsidDel="00000000" w:rsidR="00000000" w:rsidRPr="00000000">
        <w:rPr>
          <w:rtl w:val="0"/>
        </w:rPr>
      </w:r>
    </w:p>
    <w:p w:rsidR="00000000" w:rsidDel="00000000" w:rsidP="00000000" w:rsidRDefault="00000000" w:rsidRPr="00000000" w14:paraId="00000050">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Theorie-Werkausgabe. Werke in 20 Bänden mit Registerband</w:t>
      </w:r>
      <w:r w:rsidDel="00000000" w:rsidR="00000000" w:rsidRPr="00000000">
        <w:rPr>
          <w:sz w:val="24"/>
          <w:szCs w:val="24"/>
          <w:rtl w:val="0"/>
        </w:rPr>
        <w:t xml:space="preserve">. Hg. von Eva Moldenhauer, Karl Markus Michel. Frankfurt am Main: Suhrkamp, 1970. </w:t>
      </w:r>
      <w:r w:rsidDel="00000000" w:rsidR="00000000" w:rsidRPr="00000000">
        <w:rPr>
          <w:color w:val="0000ff"/>
          <w:sz w:val="24"/>
          <w:szCs w:val="24"/>
          <w:rtl w:val="0"/>
        </w:rPr>
        <w:t xml:space="preserve">(edição mais difundida)</w:t>
      </w:r>
      <w:r w:rsidDel="00000000" w:rsidR="00000000" w:rsidRPr="00000000">
        <w:rPr>
          <w:rtl w:val="0"/>
        </w:rPr>
      </w:r>
    </w:p>
    <w:p w:rsidR="00000000" w:rsidDel="00000000" w:rsidP="00000000" w:rsidRDefault="00000000" w:rsidRPr="00000000" w14:paraId="00000051">
      <w:pPr>
        <w:spacing w:line="240" w:lineRule="auto"/>
        <w:rPr>
          <w:sz w:val="24"/>
          <w:szCs w:val="24"/>
        </w:rPr>
      </w:pPr>
      <w:r w:rsidDel="00000000" w:rsidR="00000000" w:rsidRPr="00000000">
        <w:rPr>
          <w:rtl w:val="0"/>
        </w:rPr>
      </w:r>
    </w:p>
    <w:p w:rsidR="00000000" w:rsidDel="00000000" w:rsidP="00000000" w:rsidRDefault="00000000" w:rsidRPr="00000000" w14:paraId="00000052">
      <w:pPr>
        <w:spacing w:line="240" w:lineRule="auto"/>
        <w:rPr>
          <w:sz w:val="24"/>
          <w:szCs w:val="24"/>
        </w:rPr>
      </w:pPr>
      <w:r w:rsidDel="00000000" w:rsidR="00000000" w:rsidRPr="00000000">
        <w:rPr>
          <w:sz w:val="24"/>
          <w:szCs w:val="24"/>
          <w:rtl w:val="0"/>
        </w:rPr>
        <w:t xml:space="preserve">Hegel, Georg Wilhelm Friedrich. </w:t>
      </w:r>
      <w:r w:rsidDel="00000000" w:rsidR="00000000" w:rsidRPr="00000000">
        <w:rPr>
          <w:i w:val="1"/>
          <w:iCs w:val="1"/>
          <w:sz w:val="24"/>
          <w:szCs w:val="24"/>
          <w:rtl w:val="0"/>
        </w:rPr>
        <w:t xml:space="preserve">Gesammelte Werke</w:t>
      </w:r>
      <w:r w:rsidDel="00000000" w:rsidR="00000000" w:rsidRPr="00000000">
        <w:rPr>
          <w:sz w:val="24"/>
          <w:szCs w:val="24"/>
          <w:rtl w:val="0"/>
        </w:rPr>
        <w:t xml:space="preserve">. Hg. </w:t>
      </w:r>
      <w:r w:rsidDel="00000000" w:rsidR="00000000" w:rsidRPr="00000000">
        <w:rPr>
          <w:sz w:val="24"/>
          <w:szCs w:val="24"/>
          <w:rtl w:val="0"/>
        </w:rPr>
        <w:t xml:space="preserve">von</w:t>
      </w:r>
      <w:r w:rsidDel="00000000" w:rsidR="00000000" w:rsidRPr="00000000">
        <w:rPr>
          <w:sz w:val="24"/>
          <w:szCs w:val="24"/>
          <w:rtl w:val="0"/>
        </w:rPr>
        <w:t xml:space="preserve"> Rheinisch-Westfälischen Akademie der Wissenschaften. Hamburg: Meiner, 1968-. </w:t>
      </w:r>
      <w:r w:rsidDel="00000000" w:rsidR="00000000" w:rsidRPr="00000000">
        <w:rPr>
          <w:color w:val="0000ff"/>
          <w:sz w:val="24"/>
          <w:szCs w:val="24"/>
          <w:rtl w:val="0"/>
        </w:rPr>
        <w:t xml:space="preserve">(edição crítica de referência)</w:t>
      </w:r>
      <w:r w:rsidDel="00000000" w:rsidR="00000000" w:rsidRPr="00000000">
        <w:rPr>
          <w:rtl w:val="0"/>
        </w:rPr>
      </w:r>
    </w:p>
    <w:sectPr>
      <w:headerReference r:id="rId8" w:type="default"/>
      <w:footerReference r:id="rId9" w:type="default"/>
      <w:pgSz w:h="16834" w:w="11909" w:orient="portrait"/>
      <w:pgMar w:bottom="1133.8582677165355" w:top="1700.7874015748032" w:left="1700.7874015748032" w:right="1133.8582677165355"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spacing w:line="240" w:lineRule="auto"/>
      <w:jc w:val="center"/>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3">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Fonte Arial. Tamanho 10. Espaçamento simples (1,0). Justificado.</w:t>
      </w:r>
    </w:p>
  </w:footnote>
  <w:footnote w:id="1">
    <w:p w:rsidR="00000000" w:rsidDel="00000000" w:rsidP="00000000" w:rsidRDefault="00000000" w:rsidRPr="00000000" w14:paraId="00000054">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Hegel, Georg Wilhelm Friedrich. </w:t>
      </w:r>
      <w:r w:rsidDel="00000000" w:rsidR="00000000" w:rsidRPr="00000000">
        <w:rPr>
          <w:i w:val="1"/>
          <w:iCs w:val="1"/>
          <w:sz w:val="20"/>
          <w:szCs w:val="20"/>
          <w:rtl w:val="0"/>
        </w:rPr>
        <w:t xml:space="preserve">Cursos de Estética I</w:t>
      </w:r>
      <w:r w:rsidDel="00000000" w:rsidR="00000000" w:rsidRPr="00000000">
        <w:rPr>
          <w:sz w:val="20"/>
          <w:szCs w:val="20"/>
          <w:rtl w:val="0"/>
        </w:rPr>
        <w:t xml:space="preserve">. Trad. Marco Aurélio Werle. São Paulo: Edusp, 1999. Doravante CE (I, II, III, IV, conforme volume).</w:t>
      </w:r>
    </w:p>
  </w:footnote>
  <w:footnote w:id="2">
    <w:p w:rsidR="00000000" w:rsidDel="00000000" w:rsidP="00000000" w:rsidRDefault="00000000" w:rsidRPr="00000000" w14:paraId="00000055">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Hodgson, Peter. </w:t>
      </w:r>
      <w:r w:rsidDel="00000000" w:rsidR="00000000" w:rsidRPr="00000000">
        <w:rPr>
          <w:i w:val="1"/>
          <w:iCs w:val="1"/>
          <w:sz w:val="20"/>
          <w:szCs w:val="20"/>
          <w:rtl w:val="0"/>
        </w:rPr>
        <w:t xml:space="preserve">Shapes of Freedom: Hegel’s Philosophy of World History in Theological Perspective</w:t>
      </w:r>
      <w:r w:rsidDel="00000000" w:rsidR="00000000" w:rsidRPr="00000000">
        <w:rPr>
          <w:sz w:val="20"/>
          <w:szCs w:val="20"/>
          <w:rtl w:val="0"/>
        </w:rPr>
        <w:t xml:space="preserve">. Oxford: Oxford University Press, 2012. Doravante SoF.</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spacing w:line="240" w:lineRule="auto"/>
      <w:jc w:val="both"/>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360" w:lineRule="auto"/>
      <w:jc w:val="both"/>
    </w:pPr>
    <w:rPr>
      <w:b w:val="1"/>
      <w:bCs w:val="1"/>
      <w:sz w:val="24"/>
      <w:szCs w:val="2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line="360" w:lineRule="auto"/>
      <w:jc w:val="center"/>
    </w:pPr>
    <w:rPr>
      <w:rFonts w:ascii="Times New Roman" w:cs="Times New Roman" w:eastAsia="Times New Roman" w:hAnsi="Times New Roman"/>
      <w:b w:val="1"/>
      <w:bCs w:val="1"/>
      <w:sz w:val="28"/>
      <w:szCs w:val="28"/>
    </w:rPr>
  </w:style>
  <w:style w:type="paragraph" w:styleId="Subtitle">
    <w:name w:val="Subtitle"/>
    <w:basedOn w:val="Normal"/>
    <w:next w:val="Normal"/>
    <w:pPr>
      <w:keepNext w:val="1"/>
      <w:keepLines w:val="1"/>
      <w:spacing w:line="360" w:lineRule="auto"/>
      <w:jc w:val="center"/>
    </w:pPr>
    <w:rPr>
      <w:rFonts w:ascii="Times New Roman" w:cs="Times New Roman" w:eastAsia="Times New Roman" w:hAnsi="Times New Roman"/>
      <w:b w:val="1"/>
      <w:bCs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por@exemplo.com.br"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