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A6B34B" w14:textId="77777777" w:rsidR="006A27C3" w:rsidRPr="00B74990" w:rsidRDefault="00000000">
      <w:pPr>
        <w:spacing w:after="20"/>
        <w:rPr>
          <w:lang w:val="pt-BR"/>
        </w:rPr>
      </w:pPr>
      <w:r w:rsidRPr="00B74990">
        <w:rPr>
          <w:rFonts w:ascii="Aptos Display" w:hAnsi="Aptos Display"/>
          <w:b/>
          <w:color w:val="17365D"/>
          <w:sz w:val="36"/>
          <w:lang w:val="pt-BR"/>
        </w:rPr>
        <w:t>Lista de abreviações</w:t>
      </w:r>
    </w:p>
    <w:p w14:paraId="533930BE" w14:textId="77777777" w:rsidR="006A27C3" w:rsidRPr="00B74990" w:rsidRDefault="00000000">
      <w:pPr>
        <w:spacing w:after="160"/>
        <w:rPr>
          <w:lang w:val="pt-BR"/>
        </w:rPr>
      </w:pPr>
      <w:r w:rsidRPr="00B74990">
        <w:rPr>
          <w:color w:val="5B6778"/>
          <w:sz w:val="19"/>
          <w:lang w:val="pt-BR"/>
        </w:rPr>
        <w:t>Obras de G. W. F. Hegel</w:t>
      </w:r>
    </w:p>
    <w:p w14:paraId="540FC376" w14:textId="77777777" w:rsidR="006A27C3" w:rsidRDefault="00000000">
      <w:pPr>
        <w:keepNext/>
        <w:spacing w:before="160"/>
      </w:pPr>
      <w:proofErr w:type="spellStart"/>
      <w:r>
        <w:rPr>
          <w:rFonts w:ascii="Aptos Display" w:hAnsi="Aptos Display"/>
          <w:b/>
          <w:color w:val="2F5597"/>
          <w:sz w:val="23"/>
        </w:rPr>
        <w:t>Edições</w:t>
      </w:r>
      <w:proofErr w:type="spellEnd"/>
      <w:r>
        <w:rPr>
          <w:rFonts w:ascii="Aptos Display" w:hAnsi="Aptos Display"/>
          <w:b/>
          <w:color w:val="2F5597"/>
          <w:sz w:val="23"/>
        </w:rPr>
        <w:t xml:space="preserve"> </w:t>
      </w:r>
      <w:proofErr w:type="spellStart"/>
      <w:r>
        <w:rPr>
          <w:rFonts w:ascii="Aptos Display" w:hAnsi="Aptos Display"/>
          <w:b/>
          <w:color w:val="2F5597"/>
          <w:sz w:val="23"/>
        </w:rPr>
        <w:t>em</w:t>
      </w:r>
      <w:proofErr w:type="spellEnd"/>
      <w:r>
        <w:rPr>
          <w:rFonts w:ascii="Aptos Display" w:hAnsi="Aptos Display"/>
          <w:b/>
          <w:color w:val="2F5597"/>
          <w:sz w:val="23"/>
        </w:rPr>
        <w:t xml:space="preserve"> </w:t>
      </w:r>
      <w:proofErr w:type="spellStart"/>
      <w:r>
        <w:rPr>
          <w:rFonts w:ascii="Aptos Display" w:hAnsi="Aptos Display"/>
          <w:b/>
          <w:color w:val="2F5597"/>
          <w:sz w:val="23"/>
        </w:rPr>
        <w:t>alemão</w:t>
      </w:r>
      <w:proofErr w:type="spellEnd"/>
    </w:p>
    <w:tbl>
      <w:tblPr>
        <w:tblStyle w:val="TableGrid"/>
        <w:tblW w:w="9640" w:type="dxa"/>
        <w:tblLayout w:type="fixed"/>
        <w:tblLook w:val="04A0" w:firstRow="1" w:lastRow="0" w:firstColumn="1" w:lastColumn="0" w:noHBand="0" w:noVBand="1"/>
      </w:tblPr>
      <w:tblGrid>
        <w:gridCol w:w="2000"/>
        <w:gridCol w:w="7640"/>
      </w:tblGrid>
      <w:tr w:rsidR="006A27C3" w14:paraId="5D42339D" w14:textId="77777777">
        <w:trPr>
          <w:tblHeader/>
        </w:trPr>
        <w:tc>
          <w:tcPr>
            <w:tcW w:w="2000" w:type="dxa"/>
            <w:shd w:val="clear" w:color="auto" w:fill="17365D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BCA68EB" w14:textId="77777777" w:rsidR="006A27C3" w:rsidRDefault="00000000">
            <w:pPr>
              <w:spacing w:after="0" w:line="252" w:lineRule="auto"/>
            </w:pPr>
            <w:r>
              <w:rPr>
                <w:b/>
                <w:color w:val="FFFFFF"/>
                <w:sz w:val="18"/>
              </w:rPr>
              <w:t>Sigla</w:t>
            </w:r>
          </w:p>
        </w:tc>
        <w:tc>
          <w:tcPr>
            <w:tcW w:w="7640" w:type="dxa"/>
            <w:shd w:val="clear" w:color="auto" w:fill="17365D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F280485" w14:textId="77777777" w:rsidR="006A27C3" w:rsidRDefault="00000000">
            <w:pPr>
              <w:spacing w:after="0" w:line="252" w:lineRule="auto"/>
            </w:pPr>
            <w:r>
              <w:rPr>
                <w:b/>
                <w:color w:val="FFFFFF"/>
                <w:sz w:val="18"/>
              </w:rPr>
              <w:t>Edição</w:t>
            </w:r>
          </w:p>
        </w:tc>
      </w:tr>
      <w:tr w:rsidR="006A27C3" w:rsidRPr="00B74990" w14:paraId="6473F144" w14:textId="77777777">
        <w:tc>
          <w:tcPr>
            <w:tcW w:w="200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FC2EAF2" w14:textId="77777777" w:rsidR="006A27C3" w:rsidRPr="00B74990" w:rsidRDefault="00000000">
            <w:pPr>
              <w:spacing w:after="0" w:line="252" w:lineRule="auto"/>
              <w:rPr>
                <w:bCs/>
              </w:rPr>
            </w:pPr>
            <w:r w:rsidRPr="00B74990">
              <w:rPr>
                <w:bCs/>
                <w:sz w:val="19"/>
              </w:rPr>
              <w:t>GW + número do volume</w:t>
            </w:r>
          </w:p>
        </w:tc>
        <w:tc>
          <w:tcPr>
            <w:tcW w:w="764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3BC28C0" w14:textId="77777777" w:rsidR="006A27C3" w:rsidRPr="00B74990" w:rsidRDefault="00000000">
            <w:pPr>
              <w:spacing w:after="0" w:line="252" w:lineRule="auto"/>
              <w:rPr>
                <w:bCs/>
                <w:lang w:val="pt-BR"/>
              </w:rPr>
            </w:pPr>
            <w:proofErr w:type="spellStart"/>
            <w:r w:rsidRPr="00B74990">
              <w:rPr>
                <w:bCs/>
                <w:i/>
                <w:sz w:val="19"/>
                <w:lang w:val="pt-BR"/>
              </w:rPr>
              <w:t>Gesammelte</w:t>
            </w:r>
            <w:proofErr w:type="spellEnd"/>
            <w:r w:rsidRPr="00B74990">
              <w:rPr>
                <w:bCs/>
                <w:i/>
                <w:sz w:val="19"/>
                <w:lang w:val="pt-BR"/>
              </w:rPr>
              <w:t xml:space="preserve"> Werke — edição histórico-crítica</w:t>
            </w:r>
            <w:r w:rsidRPr="00B74990">
              <w:rPr>
                <w:bCs/>
                <w:sz w:val="19"/>
                <w:lang w:val="pt-BR"/>
              </w:rPr>
              <w:t xml:space="preserve"> publicada pela Felix Meiner </w:t>
            </w:r>
            <w:proofErr w:type="spellStart"/>
            <w:r w:rsidRPr="00B74990">
              <w:rPr>
                <w:bCs/>
                <w:sz w:val="19"/>
                <w:lang w:val="pt-BR"/>
              </w:rPr>
              <w:t>Verlag</w:t>
            </w:r>
            <w:proofErr w:type="spellEnd"/>
            <w:r w:rsidRPr="00B74990">
              <w:rPr>
                <w:bCs/>
                <w:sz w:val="19"/>
                <w:lang w:val="pt-BR"/>
              </w:rPr>
              <w:t>.</w:t>
            </w:r>
          </w:p>
        </w:tc>
      </w:tr>
      <w:tr w:rsidR="006A27C3" w:rsidRPr="00B74990" w14:paraId="69B5D68B" w14:textId="77777777">
        <w:tc>
          <w:tcPr>
            <w:tcW w:w="2000" w:type="dxa"/>
            <w:shd w:val="clear" w:color="auto" w:fill="F6F8FB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EFB9B4A" w14:textId="77777777" w:rsidR="006A27C3" w:rsidRPr="00B74990" w:rsidRDefault="00000000">
            <w:pPr>
              <w:spacing w:after="0" w:line="252" w:lineRule="auto"/>
              <w:rPr>
                <w:bCs/>
              </w:rPr>
            </w:pPr>
            <w:r w:rsidRPr="00B74990">
              <w:rPr>
                <w:bCs/>
                <w:sz w:val="19"/>
              </w:rPr>
              <w:t xml:space="preserve">TWA + </w:t>
            </w:r>
            <w:proofErr w:type="spellStart"/>
            <w:r w:rsidRPr="00B74990">
              <w:rPr>
                <w:bCs/>
                <w:sz w:val="19"/>
              </w:rPr>
              <w:t>número</w:t>
            </w:r>
            <w:proofErr w:type="spellEnd"/>
            <w:r w:rsidRPr="00B74990">
              <w:rPr>
                <w:bCs/>
                <w:sz w:val="19"/>
              </w:rPr>
              <w:t xml:space="preserve"> do volume</w:t>
            </w:r>
          </w:p>
        </w:tc>
        <w:tc>
          <w:tcPr>
            <w:tcW w:w="7640" w:type="dxa"/>
            <w:shd w:val="clear" w:color="auto" w:fill="F6F8FB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5813AB4" w14:textId="77777777" w:rsidR="006A27C3" w:rsidRPr="00B74990" w:rsidRDefault="00000000">
            <w:pPr>
              <w:spacing w:after="0" w:line="252" w:lineRule="auto"/>
              <w:rPr>
                <w:bCs/>
                <w:lang w:val="de-DE"/>
              </w:rPr>
            </w:pPr>
            <w:r w:rsidRPr="00B74990">
              <w:rPr>
                <w:bCs/>
                <w:i/>
                <w:sz w:val="19"/>
                <w:lang w:val="de-DE"/>
              </w:rPr>
              <w:t>Werke in zwanzig Bänden</w:t>
            </w:r>
            <w:r w:rsidRPr="00B74990">
              <w:rPr>
                <w:bCs/>
                <w:sz w:val="19"/>
                <w:lang w:val="de-DE"/>
              </w:rPr>
              <w:t xml:space="preserve"> (</w:t>
            </w:r>
            <w:r w:rsidRPr="00B74990">
              <w:rPr>
                <w:bCs/>
                <w:i/>
                <w:sz w:val="19"/>
                <w:lang w:val="de-DE"/>
              </w:rPr>
              <w:t>Theorie-Werkausgabe</w:t>
            </w:r>
            <w:r w:rsidRPr="00B74990">
              <w:rPr>
                <w:bCs/>
                <w:sz w:val="19"/>
                <w:lang w:val="de-DE"/>
              </w:rPr>
              <w:t xml:space="preserve">) — </w:t>
            </w:r>
            <w:proofErr w:type="spellStart"/>
            <w:r w:rsidRPr="00B74990">
              <w:rPr>
                <w:bCs/>
                <w:sz w:val="19"/>
                <w:lang w:val="de-DE"/>
              </w:rPr>
              <w:t>edição</w:t>
            </w:r>
            <w:proofErr w:type="spellEnd"/>
            <w:r w:rsidRPr="00B74990">
              <w:rPr>
                <w:bCs/>
                <w:sz w:val="19"/>
                <w:lang w:val="de-DE"/>
              </w:rPr>
              <w:t xml:space="preserve"> </w:t>
            </w:r>
            <w:proofErr w:type="spellStart"/>
            <w:r w:rsidRPr="00B74990">
              <w:rPr>
                <w:bCs/>
                <w:sz w:val="19"/>
                <w:lang w:val="de-DE"/>
              </w:rPr>
              <w:t>publicada</w:t>
            </w:r>
            <w:proofErr w:type="spellEnd"/>
            <w:r w:rsidRPr="00B74990">
              <w:rPr>
                <w:bCs/>
                <w:sz w:val="19"/>
                <w:lang w:val="de-DE"/>
              </w:rPr>
              <w:t xml:space="preserve"> </w:t>
            </w:r>
            <w:proofErr w:type="spellStart"/>
            <w:r w:rsidRPr="00B74990">
              <w:rPr>
                <w:bCs/>
                <w:sz w:val="19"/>
                <w:lang w:val="de-DE"/>
              </w:rPr>
              <w:t>pela</w:t>
            </w:r>
            <w:proofErr w:type="spellEnd"/>
            <w:r w:rsidRPr="00B74990">
              <w:rPr>
                <w:bCs/>
                <w:sz w:val="19"/>
                <w:lang w:val="de-DE"/>
              </w:rPr>
              <w:t xml:space="preserve"> Suhrkamp.</w:t>
            </w:r>
          </w:p>
        </w:tc>
      </w:tr>
    </w:tbl>
    <w:p w14:paraId="7FF47373" w14:textId="77777777" w:rsidR="006A27C3" w:rsidRDefault="00000000">
      <w:pPr>
        <w:keepNext/>
        <w:spacing w:before="160"/>
      </w:pPr>
      <w:r>
        <w:rPr>
          <w:rFonts w:ascii="Aptos Display" w:hAnsi="Aptos Display"/>
          <w:b/>
          <w:color w:val="2F5597"/>
          <w:sz w:val="23"/>
        </w:rPr>
        <w:t xml:space="preserve">Obras </w:t>
      </w:r>
      <w:proofErr w:type="spellStart"/>
      <w:r>
        <w:rPr>
          <w:rFonts w:ascii="Aptos Display" w:hAnsi="Aptos Display"/>
          <w:b/>
          <w:color w:val="2F5597"/>
          <w:sz w:val="23"/>
        </w:rPr>
        <w:t>em</w:t>
      </w:r>
      <w:proofErr w:type="spellEnd"/>
      <w:r>
        <w:rPr>
          <w:rFonts w:ascii="Aptos Display" w:hAnsi="Aptos Display"/>
          <w:b/>
          <w:color w:val="2F5597"/>
          <w:sz w:val="23"/>
        </w:rPr>
        <w:t xml:space="preserve"> </w:t>
      </w:r>
      <w:proofErr w:type="spellStart"/>
      <w:r>
        <w:rPr>
          <w:rFonts w:ascii="Aptos Display" w:hAnsi="Aptos Display"/>
          <w:b/>
          <w:color w:val="2F5597"/>
          <w:sz w:val="23"/>
        </w:rPr>
        <w:t>português</w:t>
      </w:r>
      <w:proofErr w:type="spellEnd"/>
      <w:r>
        <w:rPr>
          <w:rFonts w:ascii="Aptos Display" w:hAnsi="Aptos Display"/>
          <w:b/>
          <w:color w:val="2F5597"/>
          <w:sz w:val="23"/>
        </w:rPr>
        <w:t xml:space="preserve"> e </w:t>
      </w:r>
      <w:proofErr w:type="spellStart"/>
      <w:r>
        <w:rPr>
          <w:rFonts w:ascii="Aptos Display" w:hAnsi="Aptos Display"/>
          <w:b/>
          <w:color w:val="2F5597"/>
          <w:sz w:val="23"/>
        </w:rPr>
        <w:t>inglês</w:t>
      </w:r>
      <w:proofErr w:type="spellEnd"/>
    </w:p>
    <w:tbl>
      <w:tblPr>
        <w:tblStyle w:val="TableGrid"/>
        <w:tblW w:w="9640" w:type="dxa"/>
        <w:tblLayout w:type="fixed"/>
        <w:tblLook w:val="04A0" w:firstRow="1" w:lastRow="0" w:firstColumn="1" w:lastColumn="0" w:noHBand="0" w:noVBand="1"/>
      </w:tblPr>
      <w:tblGrid>
        <w:gridCol w:w="4820"/>
        <w:gridCol w:w="4820"/>
      </w:tblGrid>
      <w:tr w:rsidR="006A27C3" w14:paraId="56CD2C6A" w14:textId="77777777">
        <w:trPr>
          <w:tblHeader/>
        </w:trPr>
        <w:tc>
          <w:tcPr>
            <w:tcW w:w="4820" w:type="dxa"/>
            <w:shd w:val="clear" w:color="auto" w:fill="17365D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FFE04A0" w14:textId="77777777" w:rsidR="006A27C3" w:rsidRDefault="00000000">
            <w:pPr>
              <w:spacing w:after="0" w:line="252" w:lineRule="auto"/>
            </w:pPr>
            <w:r>
              <w:rPr>
                <w:b/>
                <w:color w:val="FFFFFF"/>
                <w:sz w:val="18"/>
              </w:rPr>
              <w:t>Português</w:t>
            </w:r>
          </w:p>
        </w:tc>
        <w:tc>
          <w:tcPr>
            <w:tcW w:w="4820" w:type="dxa"/>
            <w:shd w:val="clear" w:color="auto" w:fill="17365D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F046616" w14:textId="77777777" w:rsidR="006A27C3" w:rsidRDefault="00000000">
            <w:pPr>
              <w:spacing w:after="0" w:line="252" w:lineRule="auto"/>
            </w:pPr>
            <w:r>
              <w:rPr>
                <w:b/>
                <w:color w:val="FFFFFF"/>
                <w:sz w:val="18"/>
              </w:rPr>
              <w:t>Inglês</w:t>
            </w:r>
          </w:p>
        </w:tc>
      </w:tr>
      <w:tr w:rsidR="006A27C3" w14:paraId="46B9A2B0" w14:textId="77777777">
        <w:tc>
          <w:tcPr>
            <w:tcW w:w="482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182DB0DB" w14:textId="77777777" w:rsidR="006A27C3" w:rsidRDefault="00000000">
            <w:pPr>
              <w:spacing w:after="0" w:line="252" w:lineRule="auto"/>
            </w:pPr>
            <w:r>
              <w:rPr>
                <w:sz w:val="19"/>
              </w:rPr>
              <w:t>FE (</w:t>
            </w:r>
            <w:r>
              <w:rPr>
                <w:i/>
                <w:sz w:val="19"/>
              </w:rPr>
              <w:t>Fenomenologia do espírito</w:t>
            </w:r>
            <w:r>
              <w:rPr>
                <w:sz w:val="19"/>
              </w:rPr>
              <w:t>)</w:t>
            </w:r>
          </w:p>
        </w:tc>
        <w:tc>
          <w:tcPr>
            <w:tcW w:w="482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2BE68CF0" w14:textId="77777777" w:rsidR="006A27C3" w:rsidRDefault="00000000">
            <w:pPr>
              <w:spacing w:after="0" w:line="252" w:lineRule="auto"/>
            </w:pPr>
            <w:r>
              <w:rPr>
                <w:sz w:val="19"/>
              </w:rPr>
              <w:t>PS (</w:t>
            </w:r>
            <w:r>
              <w:rPr>
                <w:i/>
                <w:sz w:val="19"/>
              </w:rPr>
              <w:t>Phenomenology of Spirit</w:t>
            </w:r>
            <w:r>
              <w:rPr>
                <w:sz w:val="19"/>
              </w:rPr>
              <w:t>)</w:t>
            </w:r>
          </w:p>
        </w:tc>
      </w:tr>
      <w:tr w:rsidR="006A27C3" w14:paraId="709CD8C1" w14:textId="77777777">
        <w:tc>
          <w:tcPr>
            <w:tcW w:w="4820" w:type="dxa"/>
            <w:shd w:val="clear" w:color="auto" w:fill="F6F8FB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AA3090F" w14:textId="77777777" w:rsidR="006A27C3" w:rsidRPr="00B74990" w:rsidRDefault="00000000">
            <w:pPr>
              <w:spacing w:after="0" w:line="252" w:lineRule="auto"/>
              <w:rPr>
                <w:lang w:val="pt-BR"/>
              </w:rPr>
            </w:pPr>
            <w:r w:rsidRPr="00B74990">
              <w:rPr>
                <w:sz w:val="19"/>
                <w:lang w:val="pt-BR"/>
              </w:rPr>
              <w:t>FD (</w:t>
            </w:r>
            <w:r w:rsidRPr="00B74990">
              <w:rPr>
                <w:i/>
                <w:sz w:val="19"/>
                <w:lang w:val="pt-BR"/>
              </w:rPr>
              <w:t>Linhas fundamentais da filosofia do direito</w:t>
            </w:r>
            <w:r w:rsidRPr="00B74990">
              <w:rPr>
                <w:sz w:val="19"/>
                <w:lang w:val="pt-BR"/>
              </w:rPr>
              <w:t>)</w:t>
            </w:r>
          </w:p>
        </w:tc>
        <w:tc>
          <w:tcPr>
            <w:tcW w:w="4820" w:type="dxa"/>
            <w:shd w:val="clear" w:color="auto" w:fill="F6F8FB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B9F7D76" w14:textId="77777777" w:rsidR="006A27C3" w:rsidRDefault="00000000">
            <w:pPr>
              <w:spacing w:after="0" w:line="252" w:lineRule="auto"/>
            </w:pPr>
            <w:r>
              <w:rPr>
                <w:sz w:val="19"/>
              </w:rPr>
              <w:t>PR (</w:t>
            </w:r>
            <w:r>
              <w:rPr>
                <w:i/>
                <w:sz w:val="19"/>
              </w:rPr>
              <w:t>Elements of the Philosophy of Right</w:t>
            </w:r>
            <w:r>
              <w:rPr>
                <w:sz w:val="19"/>
              </w:rPr>
              <w:t>)</w:t>
            </w:r>
          </w:p>
        </w:tc>
      </w:tr>
      <w:tr w:rsidR="006A27C3" w14:paraId="1000E87D" w14:textId="77777777">
        <w:tc>
          <w:tcPr>
            <w:tcW w:w="482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4C34497E" w14:textId="77777777" w:rsidR="006A27C3" w:rsidRPr="00B74990" w:rsidRDefault="00000000">
            <w:pPr>
              <w:spacing w:after="0" w:line="252" w:lineRule="auto"/>
              <w:rPr>
                <w:lang w:val="pt-BR"/>
              </w:rPr>
            </w:pPr>
            <w:r w:rsidRPr="00B74990">
              <w:rPr>
                <w:sz w:val="19"/>
                <w:lang w:val="pt-BR"/>
              </w:rPr>
              <w:t>Enc. + volume (</w:t>
            </w:r>
            <w:r w:rsidRPr="00B74990">
              <w:rPr>
                <w:i/>
                <w:sz w:val="19"/>
                <w:lang w:val="pt-BR"/>
              </w:rPr>
              <w:t>Enciclopédia das ciências filosóficas em compêndio</w:t>
            </w:r>
            <w:r w:rsidRPr="00B74990">
              <w:rPr>
                <w:sz w:val="19"/>
                <w:lang w:val="pt-BR"/>
              </w:rPr>
              <w:t>)</w:t>
            </w:r>
          </w:p>
        </w:tc>
        <w:tc>
          <w:tcPr>
            <w:tcW w:w="482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CF4377A" w14:textId="77777777" w:rsidR="006A27C3" w:rsidRDefault="00000000">
            <w:pPr>
              <w:spacing w:after="0" w:line="252" w:lineRule="auto"/>
            </w:pPr>
            <w:r>
              <w:rPr>
                <w:sz w:val="19"/>
              </w:rPr>
              <w:t>Enc. + volume (</w:t>
            </w:r>
            <w:r>
              <w:rPr>
                <w:i/>
                <w:sz w:val="19"/>
              </w:rPr>
              <w:t>Encyclopaedia of the Philosophical Sciences in Basic Outline</w:t>
            </w:r>
            <w:r>
              <w:rPr>
                <w:sz w:val="19"/>
              </w:rPr>
              <w:t>)</w:t>
            </w:r>
          </w:p>
        </w:tc>
      </w:tr>
      <w:tr w:rsidR="006A27C3" w14:paraId="6B3596DB" w14:textId="77777777">
        <w:tc>
          <w:tcPr>
            <w:tcW w:w="4820" w:type="dxa"/>
            <w:shd w:val="clear" w:color="auto" w:fill="F6F8FB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DE3BA7C" w14:textId="77777777" w:rsidR="006A27C3" w:rsidRPr="00B74990" w:rsidRDefault="00000000">
            <w:pPr>
              <w:spacing w:after="0" w:line="252" w:lineRule="auto"/>
              <w:rPr>
                <w:lang w:val="pt-BR"/>
              </w:rPr>
            </w:pPr>
            <w:r w:rsidRPr="00B74990">
              <w:rPr>
                <w:sz w:val="19"/>
                <w:lang w:val="pt-BR"/>
              </w:rPr>
              <w:t>CL + volume (</w:t>
            </w:r>
            <w:r w:rsidRPr="00B74990">
              <w:rPr>
                <w:i/>
                <w:sz w:val="19"/>
                <w:lang w:val="pt-BR"/>
              </w:rPr>
              <w:t>Ciência da lógica</w:t>
            </w:r>
            <w:r w:rsidRPr="00B74990">
              <w:rPr>
                <w:sz w:val="19"/>
                <w:lang w:val="pt-BR"/>
              </w:rPr>
              <w:t>)</w:t>
            </w:r>
          </w:p>
        </w:tc>
        <w:tc>
          <w:tcPr>
            <w:tcW w:w="4820" w:type="dxa"/>
            <w:shd w:val="clear" w:color="auto" w:fill="F6F8FB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475EDED" w14:textId="77777777" w:rsidR="006A27C3" w:rsidRDefault="00000000">
            <w:pPr>
              <w:spacing w:after="0" w:line="252" w:lineRule="auto"/>
            </w:pPr>
            <w:r>
              <w:rPr>
                <w:sz w:val="19"/>
              </w:rPr>
              <w:t>SL (</w:t>
            </w:r>
            <w:r>
              <w:rPr>
                <w:i/>
                <w:sz w:val="19"/>
              </w:rPr>
              <w:t>Science of Logic</w:t>
            </w:r>
            <w:r>
              <w:rPr>
                <w:sz w:val="19"/>
              </w:rPr>
              <w:t>)</w:t>
            </w:r>
          </w:p>
        </w:tc>
      </w:tr>
      <w:tr w:rsidR="006A27C3" w14:paraId="663ACE6E" w14:textId="77777777">
        <w:tc>
          <w:tcPr>
            <w:tcW w:w="482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1E92FD8" w14:textId="77777777" w:rsidR="006A27C3" w:rsidRDefault="00000000">
            <w:pPr>
              <w:spacing w:after="0" w:line="252" w:lineRule="auto"/>
            </w:pPr>
            <w:r>
              <w:rPr>
                <w:sz w:val="19"/>
              </w:rPr>
              <w:t>FH (</w:t>
            </w:r>
            <w:r>
              <w:rPr>
                <w:i/>
                <w:sz w:val="19"/>
              </w:rPr>
              <w:t>Filosofia da história</w:t>
            </w:r>
            <w:r>
              <w:rPr>
                <w:sz w:val="19"/>
              </w:rPr>
              <w:t>)</w:t>
            </w:r>
          </w:p>
        </w:tc>
        <w:tc>
          <w:tcPr>
            <w:tcW w:w="4820" w:type="dxa"/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9DD34AD" w14:textId="77777777" w:rsidR="006A27C3" w:rsidRPr="00B74990" w:rsidRDefault="00000000">
            <w:pPr>
              <w:spacing w:after="0" w:line="252" w:lineRule="auto"/>
              <w:rPr>
                <w:bCs/>
              </w:rPr>
            </w:pPr>
            <w:r w:rsidRPr="00B74990">
              <w:rPr>
                <w:bCs/>
                <w:sz w:val="19"/>
              </w:rPr>
              <w:t>PH (</w:t>
            </w:r>
            <w:r w:rsidRPr="00B74990">
              <w:rPr>
                <w:bCs/>
                <w:i/>
                <w:sz w:val="19"/>
              </w:rPr>
              <w:t>Philosophy of History</w:t>
            </w:r>
            <w:r w:rsidRPr="00B74990">
              <w:rPr>
                <w:bCs/>
                <w:sz w:val="19"/>
              </w:rPr>
              <w:t>)</w:t>
            </w:r>
          </w:p>
        </w:tc>
      </w:tr>
    </w:tbl>
    <w:p w14:paraId="790E2CEC" w14:textId="7EAEFF3D" w:rsidR="006A27C3" w:rsidRPr="00B74990" w:rsidRDefault="00000000">
      <w:pPr>
        <w:spacing w:before="140" w:after="0"/>
        <w:ind w:left="85"/>
        <w:rPr>
          <w:lang w:val="pt-BR"/>
        </w:rPr>
      </w:pPr>
      <w:r w:rsidRPr="00B74990">
        <w:rPr>
          <w:b/>
          <w:color w:val="2F5597"/>
          <w:sz w:val="17"/>
          <w:lang w:val="pt-BR"/>
        </w:rPr>
        <w:t xml:space="preserve">Nota: </w:t>
      </w:r>
      <w:r w:rsidRPr="00B74990">
        <w:rPr>
          <w:color w:val="5B6778"/>
          <w:sz w:val="17"/>
          <w:lang w:val="pt-BR"/>
        </w:rPr>
        <w:t>as siglas devem ser acompanhadas da indicação do volume quando aplicável.</w:t>
      </w:r>
      <w:r w:rsidR="00B74990" w:rsidRPr="00B74990">
        <w:rPr>
          <w:color w:val="5B6778"/>
          <w:sz w:val="17"/>
          <w:lang w:val="pt-BR"/>
        </w:rPr>
        <w:t xml:space="preserve"> Qualquer outra sigla deverá ser explicitada em nota de rodapé, inserida após sua primeira ocorrência no texto.</w:t>
      </w:r>
    </w:p>
    <w:sectPr w:rsidR="006A27C3" w:rsidRPr="00B74990" w:rsidSect="00034616"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33108777">
    <w:abstractNumId w:val="8"/>
  </w:num>
  <w:num w:numId="2" w16cid:durableId="1898976059">
    <w:abstractNumId w:val="6"/>
  </w:num>
  <w:num w:numId="3" w16cid:durableId="1664628338">
    <w:abstractNumId w:val="5"/>
  </w:num>
  <w:num w:numId="4" w16cid:durableId="1392533747">
    <w:abstractNumId w:val="4"/>
  </w:num>
  <w:num w:numId="5" w16cid:durableId="1737321360">
    <w:abstractNumId w:val="7"/>
  </w:num>
  <w:num w:numId="6" w16cid:durableId="1030765154">
    <w:abstractNumId w:val="3"/>
  </w:num>
  <w:num w:numId="7" w16cid:durableId="2117828415">
    <w:abstractNumId w:val="2"/>
  </w:num>
  <w:num w:numId="8" w16cid:durableId="1777215930">
    <w:abstractNumId w:val="1"/>
  </w:num>
  <w:num w:numId="9" w16cid:durableId="48740795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51F3"/>
    <w:rsid w:val="001D600E"/>
    <w:rsid w:val="0029639D"/>
    <w:rsid w:val="002A0A9B"/>
    <w:rsid w:val="00326F90"/>
    <w:rsid w:val="006A27C3"/>
    <w:rsid w:val="008C276A"/>
    <w:rsid w:val="00AA1D8D"/>
    <w:rsid w:val="00B47730"/>
    <w:rsid w:val="00B7499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1258947D"/>
  <w14:defaultImageDpi w14:val="300"/>
  <w15:docId w15:val="{6D942457-2000-5148-8ED3-0913D3694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/>
    </w:pPr>
    <w:rPr>
      <w:rFonts w:ascii="Aptos" w:hAnsi="Aptos"/>
      <w:color w:val="1F2937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779</Characters>
  <Application>Microsoft Office Word</Application>
  <DocSecurity>0</DocSecurity>
  <Lines>28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Lista de abreviações das obras de Hegel</vt:lpstr>
    </vt:vector>
  </TitlesOfParts>
  <Manager/>
  <Company/>
  <LinksUpToDate>false</LinksUpToDate>
  <CharactersWithSpaces>896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de abreviações das obras de Hegel</dc:title>
  <dc:subject>Abreviações para citações em alemão, português e inglês</dc:subject>
  <dc:creator>Sociedade Hegel Brasileira</dc:creator>
  <cp:keywords/>
  <dc:description/>
  <cp:lastModifiedBy>Emmanuel Nakamura</cp:lastModifiedBy>
  <cp:revision>2</cp:revision>
  <dcterms:created xsi:type="dcterms:W3CDTF">2026-08-08T00:38:00Z</dcterms:created>
  <dcterms:modified xsi:type="dcterms:W3CDTF">2026-08-08T00:38:00Z</dcterms:modified>
  <cp:category/>
</cp:coreProperties>
</file>